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2" w:rsidRDefault="00D66882">
      <w:pPr>
        <w:pStyle w:val="20"/>
        <w:framePr w:w="3701" w:h="448" w:hRule="exact" w:wrap="around" w:vAnchor="page" w:hAnchor="page" w:x="1808" w:y="2126"/>
        <w:shd w:val="clear" w:color="auto" w:fill="auto"/>
        <w:spacing w:after="31" w:line="170" w:lineRule="exact"/>
        <w:ind w:left="40"/>
      </w:pPr>
      <w:r>
        <w:t>В. Роменський</w:t>
      </w:r>
    </w:p>
    <w:p w:rsidR="00B204D2" w:rsidRDefault="00D66882">
      <w:pPr>
        <w:pStyle w:val="a5"/>
        <w:framePr w:w="3701" w:h="448" w:hRule="exact" w:wrap="around" w:vAnchor="page" w:hAnchor="page" w:x="1808" w:y="2126"/>
        <w:shd w:val="clear" w:color="auto" w:fill="auto"/>
        <w:spacing w:before="0" w:line="150" w:lineRule="exact"/>
        <w:ind w:left="40"/>
      </w:pPr>
      <w:r>
        <w:t>Реформування системи корпоративних</w:t>
      </w:r>
    </w:p>
    <w:p w:rsidR="00B204D2" w:rsidRDefault="00D66882">
      <w:pPr>
        <w:pStyle w:val="22"/>
        <w:framePr w:wrap="around" w:vAnchor="page" w:hAnchor="page" w:x="1856" w:y="3524"/>
        <w:shd w:val="clear" w:color="auto" w:fill="auto"/>
        <w:tabs>
          <w:tab w:val="right" w:pos="6398"/>
          <w:tab w:val="right" w:pos="7982"/>
        </w:tabs>
        <w:spacing w:after="0" w:line="190" w:lineRule="exact"/>
      </w:pPr>
      <w:r>
        <w:t xml:space="preserve">УДК </w:t>
      </w:r>
      <w:r>
        <w:rPr>
          <w:lang w:val="en-US" w:eastAsia="en-US" w:bidi="en-US"/>
        </w:rPr>
        <w:t>GG</w:t>
      </w:r>
      <w:r w:rsidRPr="00BA352D">
        <w:rPr>
          <w:lang w:val="ru-RU" w:eastAsia="en-US" w:bidi="en-US"/>
        </w:rPr>
        <w:t>5.5</w:t>
      </w:r>
      <w:r w:rsidRPr="00BA352D">
        <w:rPr>
          <w:lang w:val="ru-RU" w:eastAsia="en-US" w:bidi="en-US"/>
        </w:rPr>
        <w:tab/>
      </w:r>
      <w:r>
        <w:t>Володимир</w:t>
      </w:r>
      <w:r>
        <w:tab/>
        <w:t>РОМЕНСЬКИЙ</w:t>
      </w:r>
    </w:p>
    <w:p w:rsidR="00B204D2" w:rsidRDefault="00D66882">
      <w:pPr>
        <w:pStyle w:val="10"/>
        <w:framePr w:w="8246" w:h="1007" w:hRule="exact" w:wrap="around" w:vAnchor="page" w:hAnchor="page" w:x="1856" w:y="4327"/>
        <w:shd w:val="clear" w:color="auto" w:fill="auto"/>
        <w:spacing w:before="0"/>
        <w:ind w:left="240"/>
      </w:pPr>
      <w:bookmarkStart w:id="0" w:name="bookmark0"/>
      <w:r>
        <w:t>РЕФОРМУВАННЯ СИСТЕМИ КОРПОРАТИВНИХ ВІДНОСИН В УКРАЇНІ: МИНУЛЕ, СЬОГОДЕННЯ, МАЙБУТНЄ</w:t>
      </w:r>
      <w:bookmarkEnd w:id="0"/>
    </w:p>
    <w:p w:rsidR="00B204D2" w:rsidRDefault="00D66882">
      <w:pPr>
        <w:pStyle w:val="30"/>
        <w:framePr w:w="3950" w:h="3418" w:hRule="exact" w:wrap="around" w:vAnchor="page" w:hAnchor="page" w:x="1856" w:y="5631"/>
        <w:shd w:val="clear" w:color="auto" w:fill="auto"/>
        <w:ind w:left="20" w:right="20" w:firstLine="160"/>
      </w:pPr>
      <w:r>
        <w:t>Доведено, що необхідність реформування системи корпоративних відносин в Україні є наслідком</w:t>
      </w:r>
      <w:r>
        <w:t xml:space="preserve"> необґрунтованих рішень, що приймалися на різних рівнях управління економікою в період масової приватизації державного майна. На конкретних прикла</w:t>
      </w:r>
      <w:r>
        <w:softHyphen/>
        <w:t>дах показано, що вирішення проблем тисяч акціонерних товариств потребує викорис</w:t>
      </w:r>
      <w:r>
        <w:softHyphen/>
        <w:t>тання інноваційних підходів у</w:t>
      </w:r>
      <w:r>
        <w:t xml:space="preserve"> корпоратив</w:t>
      </w:r>
      <w:r>
        <w:softHyphen/>
        <w:t>ному управлінні. Обґрунтовано доцільність впровадження першочергових заходів у царині господарського права і корпоративного управління для узгодження інтересів учасників корпоративних відносин.</w:t>
      </w:r>
    </w:p>
    <w:p w:rsidR="00B204D2" w:rsidRDefault="00D66882">
      <w:pPr>
        <w:pStyle w:val="30"/>
        <w:framePr w:w="3931" w:h="3177" w:hRule="exact" w:wrap="around" w:vAnchor="page" w:hAnchor="page" w:x="5946" w:y="5636"/>
        <w:shd w:val="clear" w:color="auto" w:fill="auto"/>
        <w:ind w:left="20" w:right="20" w:firstLine="160"/>
      </w:pPr>
      <w:r>
        <w:rPr>
          <w:lang w:val="en-US" w:eastAsia="en-US" w:bidi="en-US"/>
        </w:rPr>
        <w:t>It is improved that the need for reform of the cor</w:t>
      </w:r>
      <w:r>
        <w:rPr>
          <w:lang w:val="en-US" w:eastAsia="en-US" w:bidi="en-US"/>
        </w:rPr>
        <w:t>porate relations system in Ukraine is the result of unreasonable decisions making at different levels of economic management during the mass privatization of state property. In concrete examples it is shown that solving the problems of thousands joint stoc</w:t>
      </w:r>
      <w:r>
        <w:rPr>
          <w:lang w:val="en-US" w:eastAsia="en-US" w:bidi="en-US"/>
        </w:rPr>
        <w:t>k companies requires the use of innovative approaches to corporate governance. Feasi</w:t>
      </w:r>
      <w:r>
        <w:rPr>
          <w:lang w:val="en-US" w:eastAsia="en-US" w:bidi="en-US"/>
        </w:rPr>
        <w:softHyphen/>
        <w:t>bility of the priority actions implementing in the field of commercial law and corporate governance to align interests of corporate relations participator is proved.</w:t>
      </w:r>
    </w:p>
    <w:p w:rsidR="00B204D2" w:rsidRDefault="00D66882">
      <w:pPr>
        <w:pStyle w:val="30"/>
        <w:framePr w:w="8016" w:h="1013" w:hRule="exact" w:wrap="around" w:vAnchor="page" w:hAnchor="page" w:x="1861" w:y="9169"/>
        <w:shd w:val="clear" w:color="auto" w:fill="auto"/>
        <w:tabs>
          <w:tab w:val="left" w:pos="4188"/>
        </w:tabs>
        <w:ind w:left="180" w:firstLine="0"/>
      </w:pPr>
      <w:r>
        <w:rPr>
          <w:rStyle w:val="30pt"/>
          <w:i/>
          <w:iCs/>
        </w:rPr>
        <w:t xml:space="preserve">Ключові слова: </w:t>
      </w:r>
      <w:r>
        <w:t>корпоративні відносини,</w:t>
      </w:r>
      <w:r>
        <w:tab/>
      </w:r>
      <w:r>
        <w:rPr>
          <w:rStyle w:val="30pt"/>
          <w:i/>
          <w:iCs/>
          <w:lang w:val="en-US" w:eastAsia="en-US" w:bidi="en-US"/>
        </w:rPr>
        <w:t xml:space="preserve">Keywords: </w:t>
      </w:r>
      <w:r>
        <w:rPr>
          <w:lang w:val="en-US" w:eastAsia="en-US" w:bidi="en-US"/>
        </w:rPr>
        <w:t>corporate relations, corporate</w:t>
      </w:r>
    </w:p>
    <w:p w:rsidR="00B204D2" w:rsidRDefault="00D66882">
      <w:pPr>
        <w:pStyle w:val="30"/>
        <w:framePr w:w="8016" w:h="1013" w:hRule="exact" w:wrap="around" w:vAnchor="page" w:hAnchor="page" w:x="1861" w:y="9169"/>
        <w:shd w:val="clear" w:color="auto" w:fill="auto"/>
        <w:ind w:right="20" w:firstLine="0"/>
        <w:jc w:val="left"/>
      </w:pPr>
      <w:r>
        <w:t xml:space="preserve">корпоративне управління, емітенти кор- </w:t>
      </w:r>
      <w:r>
        <w:rPr>
          <w:lang w:val="en-US" w:eastAsia="en-US" w:bidi="en-US"/>
        </w:rPr>
        <w:t>governance</w:t>
      </w:r>
      <w:r w:rsidRPr="00BA352D">
        <w:rPr>
          <w:lang w:eastAsia="en-US" w:bidi="en-US"/>
        </w:rPr>
        <w:t xml:space="preserve">, </w:t>
      </w:r>
      <w:r>
        <w:rPr>
          <w:lang w:val="en-US" w:eastAsia="en-US" w:bidi="en-US"/>
        </w:rPr>
        <w:t>emitents</w:t>
      </w:r>
      <w:r w:rsidRPr="00BA352D">
        <w:rPr>
          <w:lang w:eastAsia="en-US" w:bidi="en-US"/>
        </w:rPr>
        <w:t xml:space="preserve"> </w:t>
      </w:r>
      <w:r>
        <w:rPr>
          <w:lang w:val="en-US" w:eastAsia="en-US" w:bidi="en-US"/>
        </w:rPr>
        <w:t>of</w:t>
      </w:r>
      <w:r w:rsidRPr="00BA352D">
        <w:rPr>
          <w:lang w:eastAsia="en-US" w:bidi="en-US"/>
        </w:rPr>
        <w:t xml:space="preserve"> </w:t>
      </w:r>
      <w:r>
        <w:rPr>
          <w:lang w:val="en-US" w:eastAsia="en-US" w:bidi="en-US"/>
        </w:rPr>
        <w:t>equity</w:t>
      </w:r>
      <w:r w:rsidRPr="00BA352D">
        <w:rPr>
          <w:lang w:eastAsia="en-US" w:bidi="en-US"/>
        </w:rPr>
        <w:t xml:space="preserve"> </w:t>
      </w:r>
      <w:r>
        <w:rPr>
          <w:lang w:val="en-US" w:eastAsia="en-US" w:bidi="en-US"/>
        </w:rPr>
        <w:t>rights</w:t>
      </w:r>
      <w:r w:rsidRPr="00BA352D">
        <w:rPr>
          <w:lang w:eastAsia="en-US" w:bidi="en-US"/>
        </w:rPr>
        <w:t xml:space="preserve">, </w:t>
      </w:r>
      <w:r>
        <w:rPr>
          <w:lang w:val="en-US" w:eastAsia="en-US" w:bidi="en-US"/>
        </w:rPr>
        <w:t>joint</w:t>
      </w:r>
      <w:r w:rsidRPr="00BA352D">
        <w:rPr>
          <w:lang w:eastAsia="en-US" w:bidi="en-US"/>
        </w:rPr>
        <w:t xml:space="preserve"> </w:t>
      </w:r>
      <w:r>
        <w:t xml:space="preserve">поративних прав, акціонерні товариства, </w:t>
      </w:r>
      <w:r>
        <w:rPr>
          <w:lang w:val="en-US" w:eastAsia="en-US" w:bidi="en-US"/>
        </w:rPr>
        <w:t>stock</w:t>
      </w:r>
      <w:r w:rsidRPr="00BA352D">
        <w:rPr>
          <w:lang w:eastAsia="en-US" w:bidi="en-US"/>
        </w:rPr>
        <w:t xml:space="preserve"> </w:t>
      </w:r>
      <w:r>
        <w:rPr>
          <w:lang w:val="en-US" w:eastAsia="en-US" w:bidi="en-US"/>
        </w:rPr>
        <w:t>companies</w:t>
      </w:r>
      <w:r w:rsidRPr="00BA352D">
        <w:rPr>
          <w:lang w:eastAsia="en-US" w:bidi="en-US"/>
        </w:rPr>
        <w:t xml:space="preserve">, </w:t>
      </w:r>
      <w:r>
        <w:rPr>
          <w:lang w:val="en-US" w:eastAsia="en-US" w:bidi="en-US"/>
        </w:rPr>
        <w:t>limited</w:t>
      </w:r>
      <w:r w:rsidRPr="00BA352D">
        <w:rPr>
          <w:lang w:eastAsia="en-US" w:bidi="en-US"/>
        </w:rPr>
        <w:t xml:space="preserve"> </w:t>
      </w:r>
      <w:r>
        <w:rPr>
          <w:lang w:val="en-US" w:eastAsia="en-US" w:bidi="en-US"/>
        </w:rPr>
        <w:t>liability</w:t>
      </w:r>
      <w:r w:rsidRPr="00BA352D">
        <w:rPr>
          <w:lang w:eastAsia="en-US" w:bidi="en-US"/>
        </w:rPr>
        <w:t xml:space="preserve"> </w:t>
      </w:r>
      <w:r>
        <w:rPr>
          <w:lang w:val="en-US" w:eastAsia="en-US" w:bidi="en-US"/>
        </w:rPr>
        <w:t>company</w:t>
      </w:r>
      <w:r w:rsidRPr="00BA352D">
        <w:rPr>
          <w:lang w:eastAsia="en-US" w:bidi="en-US"/>
        </w:rPr>
        <w:t xml:space="preserve">, </w:t>
      </w:r>
      <w:r>
        <w:t>товарист</w:t>
      </w:r>
      <w:r>
        <w:t>ва з обмеженою відповідальністю.</w:t>
      </w:r>
    </w:p>
    <w:p w:rsidR="00B204D2" w:rsidRDefault="00D66882">
      <w:pPr>
        <w:pStyle w:val="a7"/>
        <w:framePr w:w="8016" w:h="3503" w:hRule="exact" w:wrap="around" w:vAnchor="page" w:hAnchor="page" w:x="1861" w:y="10664"/>
        <w:shd w:val="clear" w:color="auto" w:fill="auto"/>
        <w:spacing w:before="0"/>
        <w:ind w:right="20" w:firstLine="280"/>
      </w:pPr>
      <w:r>
        <w:t>Система корпоративних відносин в Україні складалася під впливом процесів масової приватизації державного майна та становлення нових форм господарювання.</w:t>
      </w:r>
    </w:p>
    <w:p w:rsidR="00B204D2" w:rsidRDefault="00D66882">
      <w:pPr>
        <w:pStyle w:val="a7"/>
        <w:framePr w:w="8016" w:h="3503" w:hRule="exact" w:wrap="around" w:vAnchor="page" w:hAnchor="page" w:x="1861" w:y="10664"/>
        <w:shd w:val="clear" w:color="auto" w:fill="auto"/>
        <w:spacing w:before="0"/>
        <w:ind w:right="20" w:firstLine="280"/>
      </w:pPr>
      <w:r>
        <w:t>Безперечно, вплив на ці процеси спричиняли рішення, які приймалися чин</w:t>
      </w:r>
      <w:r>
        <w:t>овниками ряду державних установ, таких як Фонд державного майна України, Державна комісія з цінних паперів та фондового ринку, керівниками підприємств, фахівцями посередницьких структур, які здійснювали, перш за все, фінансове та юридичне супроводження про</w:t>
      </w:r>
      <w:r>
        <w:t>цесів приватизації і акціонування.</w:t>
      </w:r>
    </w:p>
    <w:p w:rsidR="00B204D2" w:rsidRDefault="00D66882">
      <w:pPr>
        <w:pStyle w:val="a7"/>
        <w:framePr w:w="8016" w:h="3503" w:hRule="exact" w:wrap="around" w:vAnchor="page" w:hAnchor="page" w:x="1861" w:y="10664"/>
        <w:shd w:val="clear" w:color="auto" w:fill="auto"/>
        <w:spacing w:before="0" w:after="219"/>
        <w:ind w:right="20" w:firstLine="280"/>
      </w:pPr>
      <w:r>
        <w:t>Метою статті є обґрунтування доцільності і необхідності впровадження першочергових заходів у сфері господарського права і корпоративного управління для узгодження інтересів учасників корпоративних відносин на основі аналі</w:t>
      </w:r>
      <w:r>
        <w:t>зу процесів їх реформування упродовж останніх років. Теоретичне осмислення і узагальнення проблем розвитку корпоративних</w:t>
      </w:r>
    </w:p>
    <w:p w:rsidR="00B204D2" w:rsidRDefault="00D66882">
      <w:pPr>
        <w:pStyle w:val="40"/>
        <w:framePr w:w="8016" w:h="3503" w:hRule="exact" w:wrap="around" w:vAnchor="page" w:hAnchor="page" w:x="1861" w:y="10664"/>
        <w:shd w:val="clear" w:color="auto" w:fill="auto"/>
        <w:spacing w:before="0" w:line="150" w:lineRule="exact"/>
      </w:pPr>
      <w:r>
        <w:t>© Володимир Роменський, 2013.</w:t>
      </w:r>
    </w:p>
    <w:p w:rsidR="00B204D2" w:rsidRDefault="00D66882">
      <w:pPr>
        <w:pStyle w:val="a5"/>
        <w:framePr w:wrap="around" w:vAnchor="page" w:hAnchor="page" w:x="1856" w:y="14531"/>
        <w:shd w:val="clear" w:color="auto" w:fill="auto"/>
        <w:spacing w:before="0" w:line="150" w:lineRule="exact"/>
        <w:ind w:left="20"/>
      </w:pPr>
      <w:r>
        <w:t>1</w:t>
      </w:r>
      <w:r>
        <w:rPr>
          <w:lang w:val="en-US" w:eastAsia="en-US" w:bidi="en-US"/>
        </w:rPr>
        <w:t>QS</w:t>
      </w:r>
    </w:p>
    <w:p w:rsidR="00B204D2" w:rsidRDefault="00D66882">
      <w:pPr>
        <w:pStyle w:val="a5"/>
        <w:framePr w:wrap="around" w:vAnchor="page" w:hAnchor="page" w:x="6906" w:y="14531"/>
        <w:shd w:val="clear" w:color="auto" w:fill="auto"/>
        <w:spacing w:before="0" w:line="150" w:lineRule="exact"/>
        <w:ind w:left="20"/>
      </w:pPr>
      <w:r>
        <w:t>Управлінські інновації 3/2013 р.</w:t>
      </w:r>
    </w:p>
    <w:p w:rsidR="00B204D2" w:rsidRDefault="00B204D2">
      <w:pPr>
        <w:rPr>
          <w:sz w:val="2"/>
          <w:szCs w:val="2"/>
        </w:rPr>
        <w:sectPr w:rsidR="00B204D2">
          <w:pgSz w:w="11909" w:h="16838"/>
          <w:pgMar w:top="0" w:right="0" w:bottom="0" w:left="0" w:header="0" w:footer="3" w:gutter="0"/>
          <w:cols w:space="720"/>
          <w:noEndnote/>
          <w:docGrid w:linePitch="360"/>
        </w:sectPr>
      </w:pPr>
    </w:p>
    <w:p w:rsidR="00B204D2" w:rsidRDefault="00D66882">
      <w:pPr>
        <w:pStyle w:val="a5"/>
        <w:framePr w:wrap="around" w:vAnchor="page" w:hAnchor="page" w:x="4519" w:y="2334"/>
        <w:shd w:val="clear" w:color="auto" w:fill="auto"/>
        <w:spacing w:before="0" w:line="150" w:lineRule="exact"/>
        <w:ind w:left="20"/>
      </w:pPr>
      <w:r>
        <w:lastRenderedPageBreak/>
        <w:t xml:space="preserve">Впровадження управлінських інновацій на </w:t>
      </w:r>
      <w:r>
        <w:t>підприємствах</w:t>
      </w:r>
    </w:p>
    <w:p w:rsidR="00B204D2" w:rsidRDefault="00D66882">
      <w:pPr>
        <w:pStyle w:val="a7"/>
        <w:framePr w:w="7997" w:h="11084" w:hRule="exact" w:wrap="around" w:vAnchor="page" w:hAnchor="page" w:x="1960" w:y="2773"/>
        <w:shd w:val="clear" w:color="auto" w:fill="auto"/>
        <w:spacing w:before="0"/>
        <w:ind w:left="20" w:right="20"/>
      </w:pPr>
      <w:r>
        <w:t>відносин з боку українських вчених і фахівців відбувалося з помітним відставанням, однак можна відзначити, що до початку нового сторіччя з’явилися перші українські підручники, наукові та практичні посібники з даної тематики. Серед авторів, як</w:t>
      </w:r>
      <w:r>
        <w:t>і аналізують еволюцію системи корпоративних відносин в Україні та розкривають специфіку української моделі корпоративного управління, можна відзначити В. А. Євтушевського, М. П. Мальську,</w:t>
      </w:r>
    </w:p>
    <w:p w:rsidR="00B204D2" w:rsidRDefault="00D66882">
      <w:pPr>
        <w:pStyle w:val="a7"/>
        <w:framePr w:w="7997" w:h="11084" w:hRule="exact" w:wrap="around" w:vAnchor="page" w:hAnchor="page" w:x="1960" w:y="2773"/>
        <w:shd w:val="clear" w:color="auto" w:fill="auto"/>
        <w:tabs>
          <w:tab w:val="left" w:pos="333"/>
        </w:tabs>
        <w:spacing w:before="0"/>
        <w:ind w:left="20" w:right="20"/>
      </w:pPr>
      <w:r>
        <w:t>Н.</w:t>
      </w:r>
      <w:r>
        <w:tab/>
        <w:t>А. Супруна, Ю. М. Уманціва, а також фахівців у галузі господарськ</w:t>
      </w:r>
      <w:r>
        <w:t>ого права В. М. Крав</w:t>
      </w:r>
      <w:r>
        <w:softHyphen/>
        <w:t>чука, О. Й. Окунева, О. В. Щербину.</w:t>
      </w:r>
    </w:p>
    <w:p w:rsidR="00B204D2" w:rsidRDefault="00D66882">
      <w:pPr>
        <w:pStyle w:val="a7"/>
        <w:framePr w:w="7997" w:h="11084" w:hRule="exact" w:wrap="around" w:vAnchor="page" w:hAnchor="page" w:x="1960" w:y="2773"/>
        <w:shd w:val="clear" w:color="auto" w:fill="auto"/>
        <w:spacing w:before="0"/>
        <w:ind w:left="20" w:right="20" w:firstLine="280"/>
      </w:pPr>
      <w:r>
        <w:t>Найбільший інтерес до проблем корпоративного управління виникає в періоди появи та загострення теоретичних та практичних конфліктних ситуацій у цій сфері. Тут варто відзначити, що такі конфлікти найч</w:t>
      </w:r>
      <w:r>
        <w:t>астіше мають у своїй основі процеси, які є результатами рішень, що приймалися раніше, і на момент їх прийняття видавалися креативними. Дійсно, нерозвинене законодавство, відсутність теоретичного розуміння проблеми в цілому, завдання, які ставлять перед соб</w:t>
      </w:r>
      <w:r>
        <w:t>ою учасники при вирішенні тих чи інших проблем господарської практики, часто вимагають інноваційних підходів для усунення подібних проблемних ситуацій. Поряд з тим, реалізація «інноваційних підходів» фахівців-практиків без належного теоретичного осмислення</w:t>
      </w:r>
      <w:r>
        <w:t xml:space="preserve"> природи корпоративних відносин та корпоративного управління як таких призводить до того, що, домагаючись конкретного результату при вирішенні проблем сьогодення, ініціатори змін найчастіше закладають своєрідні «міни уповільненої дії», які неминуче проявля</w:t>
      </w:r>
      <w:r>
        <w:t>ють себе у майбутньому, причому не завжди з позитивної сторони. Найчастіше це відбувається в періоди, які супроводжують великі зрушення в законодавчій базі, що вимагає прийняття, перш за все, оперативних рішень без належного оцінювання більш-менш віддалени</w:t>
      </w:r>
      <w:r>
        <w:t>х наслідків.</w:t>
      </w:r>
    </w:p>
    <w:p w:rsidR="00B204D2" w:rsidRDefault="00D66882">
      <w:pPr>
        <w:pStyle w:val="a7"/>
        <w:framePr w:w="7997" w:h="11084" w:hRule="exact" w:wrap="around" w:vAnchor="page" w:hAnchor="page" w:x="1960" w:y="2773"/>
        <w:shd w:val="clear" w:color="auto" w:fill="auto"/>
        <w:spacing w:before="0"/>
        <w:ind w:left="20" w:right="20" w:firstLine="280"/>
      </w:pPr>
      <w:r>
        <w:t>На даний момент ми переживаємо саме такий період реформування системи корпоративних відносин в Україні, що пов’язується, в першу чергу, з ухваленням декількох законодавчих актів і нормативних документів, які значною мірою вплинули на систему к</w:t>
      </w:r>
      <w:r>
        <w:t>орпоративних відносин в країні. Перш за все, мова йде про Закон України «Про акціонерні товариства» та прийняті у зв’язку з цим Національною комісією з цінних паперів та фондового ринку (далі - НКЦПФР або ДКЦПФР) нормативні документи. Спрямовані за своєю с</w:t>
      </w:r>
      <w:r>
        <w:t>утністю на підвищення ефективності корпоративного управління, ці документи по-різному впливають на окремі сфери корпоративних відносин, викликаючи неоднозначне ставлення до них з боку учасників цих відносин.</w:t>
      </w:r>
    </w:p>
    <w:p w:rsidR="00B204D2" w:rsidRDefault="00D66882">
      <w:pPr>
        <w:pStyle w:val="a7"/>
        <w:framePr w:w="7997" w:h="11084" w:hRule="exact" w:wrap="around" w:vAnchor="page" w:hAnchor="page" w:x="1960" w:y="2773"/>
        <w:shd w:val="clear" w:color="auto" w:fill="auto"/>
        <w:spacing w:before="0"/>
        <w:ind w:left="20" w:right="20" w:firstLine="280"/>
      </w:pPr>
      <w:r>
        <w:t>Важливим положенням Закону України «Про акціонер</w:t>
      </w:r>
      <w:r>
        <w:t>ні товариства» стало закріплення в його нормах прав і обов’язків акціонерів, самого товариства і його посадових осіб щодо акціонерів та третіх осіб, що значною мірою посилило вимоги до функціонування акціонерного товариства як форми організації бізнесу і з</w:t>
      </w:r>
      <w:r>
        <w:t>більшило фінансове навантаження на акціонерні товариства. Приймаючи даний нормативний акт, законодавці не приховували прагнення значно скоротити кількість акціонерних товариств, значну частку яких було створено в процесі масової приватизації в середині 199</w:t>
      </w:r>
      <w:r>
        <w:t>0-х - початку 2000-х років. Важко назвати точне число акціонерних товариств, створених у цей період в Україні, оскільки різні офіційні джерела оперують різними цифрами. За даними Державної служби</w:t>
      </w:r>
    </w:p>
    <w:p w:rsidR="00B204D2" w:rsidRDefault="00D66882">
      <w:pPr>
        <w:pStyle w:val="a5"/>
        <w:framePr w:wrap="around" w:vAnchor="page" w:hAnchor="page" w:x="1931" w:y="14531"/>
        <w:shd w:val="clear" w:color="auto" w:fill="auto"/>
        <w:spacing w:before="0" w:line="150" w:lineRule="exact"/>
        <w:ind w:left="20"/>
      </w:pPr>
      <w:r>
        <w:t>Управлінські інновації 3/2013 р.</w:t>
      </w:r>
    </w:p>
    <w:p w:rsidR="00B204D2" w:rsidRDefault="00D66882">
      <w:pPr>
        <w:pStyle w:val="a5"/>
        <w:framePr w:wrap="around" w:vAnchor="page" w:hAnchor="page" w:x="9664" w:y="14531"/>
        <w:shd w:val="clear" w:color="auto" w:fill="auto"/>
        <w:spacing w:before="0" w:line="150" w:lineRule="exact"/>
        <w:ind w:left="20"/>
      </w:pPr>
      <w:r>
        <w:t>109</w:t>
      </w:r>
    </w:p>
    <w:p w:rsidR="00B204D2" w:rsidRDefault="00B204D2">
      <w:pPr>
        <w:rPr>
          <w:sz w:val="2"/>
          <w:szCs w:val="2"/>
        </w:rPr>
        <w:sectPr w:rsidR="00B204D2">
          <w:pgSz w:w="11909" w:h="16838"/>
          <w:pgMar w:top="0" w:right="0" w:bottom="0" w:left="0" w:header="0" w:footer="3" w:gutter="0"/>
          <w:cols w:space="720"/>
          <w:noEndnote/>
          <w:docGrid w:linePitch="360"/>
        </w:sectPr>
      </w:pPr>
    </w:p>
    <w:p w:rsidR="00B204D2" w:rsidRDefault="00D66882">
      <w:pPr>
        <w:pStyle w:val="20"/>
        <w:framePr w:w="8050" w:h="408" w:hRule="exact" w:wrap="around" w:vAnchor="page" w:hAnchor="page" w:x="1931" w:y="2113"/>
        <w:shd w:val="clear" w:color="auto" w:fill="auto"/>
        <w:spacing w:after="31" w:line="170" w:lineRule="exact"/>
        <w:ind w:left="40"/>
      </w:pPr>
      <w:r>
        <w:lastRenderedPageBreak/>
        <w:t>В. Роменський</w:t>
      </w:r>
    </w:p>
    <w:p w:rsidR="00B204D2" w:rsidRDefault="00D66882">
      <w:pPr>
        <w:pStyle w:val="a5"/>
        <w:framePr w:w="8050" w:h="408" w:hRule="exact" w:wrap="around" w:vAnchor="page" w:hAnchor="page" w:x="1931" w:y="2113"/>
        <w:shd w:val="clear" w:color="auto" w:fill="auto"/>
        <w:spacing w:before="0" w:line="150" w:lineRule="exact"/>
        <w:ind w:left="40"/>
      </w:pPr>
      <w:r>
        <w:t>Реформування системи корпоративних ...</w:t>
      </w:r>
    </w:p>
    <w:p w:rsidR="00B204D2" w:rsidRDefault="00D66882">
      <w:pPr>
        <w:pStyle w:val="a7"/>
        <w:framePr w:w="7997" w:h="11045" w:hRule="exact" w:wrap="around" w:vAnchor="page" w:hAnchor="page" w:x="1960" w:y="2777"/>
        <w:shd w:val="clear" w:color="auto" w:fill="auto"/>
        <w:spacing w:before="0"/>
        <w:ind w:left="20" w:right="20"/>
      </w:pPr>
      <w:r>
        <w:t>статистики України, станом на 01.01.2001 року в країні було зареєстровано 3494 акціо</w:t>
      </w:r>
      <w:r>
        <w:softHyphen/>
        <w:t>нерних товариства [1, с. 63], у «Звіті ДКЦПФР» за 2000 рік знаходимо іншу цифру - 3526 акціонерних товариств, з них: 1</w:t>
      </w:r>
      <w:r>
        <w:t>185 відкритих і 2341 закритих, які станом на 01.01. 2001 року у сукупності зареєстрували у ДКЦПФР загальний обсяг емісій акцій на 47,29 млрд. грн. [2].</w:t>
      </w:r>
    </w:p>
    <w:p w:rsidR="00B204D2" w:rsidRDefault="00D66882">
      <w:pPr>
        <w:pStyle w:val="a7"/>
        <w:framePr w:w="7997" w:h="11045" w:hRule="exact" w:wrap="around" w:vAnchor="page" w:hAnchor="page" w:x="1960" w:y="2777"/>
        <w:shd w:val="clear" w:color="auto" w:fill="auto"/>
        <w:spacing w:before="0"/>
        <w:ind w:left="20" w:right="20" w:firstLine="280"/>
      </w:pPr>
      <w:r>
        <w:t>Упродовж приватизації акціонерними товариствами ставали великі підприємства, такі як металургійний комбі</w:t>
      </w:r>
      <w:r>
        <w:t>нат «Криворіжсталь» та лідери українського машинобудування «Мотор-Січ», «КРАЗ», а також гастрономи, аптеки, ресторани, станції технічного обслуговування автомобілів. Зрозуміло, що на різних підприємствах система корпо</w:t>
      </w:r>
      <w:r>
        <w:softHyphen/>
        <w:t>ративного управління вибудовувалася по</w:t>
      </w:r>
      <w:r>
        <w:t>-різному, що не в останню чергу залежало від корпоративної культури, кваліфікації фахівців таких акціонерних товариствах, а також від цілей, які переслідували у постприватизаційний період керівники акціонерних товариств. У період завершення масової привати</w:t>
      </w:r>
      <w:r>
        <w:t>зації виникли перші численні скандали, пов’язані з порушенням прав дрібних акціонерів. Найбільш гучними у той час етапи події, пов’язані з проведенням додаткового випуску акцій на ВАТ «Дніпрошина» та ВАТ «Львівгаз», в ході яких більшість акціонерів було по</w:t>
      </w:r>
      <w:r>
        <w:t>збавлено першочергового права на придбання акцій додаткової емісії, що призвело до цілеспрямованої зміни структури акціонерного капіталу на користь мажоритарних акціонерів. З точки зору порушення прав акціонерів характерним явищем стало ненадання емітентам</w:t>
      </w:r>
      <w:r>
        <w:t>и цінних паперів інформації або надання її не в повному обсязі. Так, наприклад, у 2000 році до ДКЦПФР надали звіти приблизно 3/4 емітентів цінних паперів від усіх відкритих акціонерних товариств, зареєстрованих на той момент. Поширеною практикою ставало не</w:t>
      </w:r>
      <w:r>
        <w:t>повідомлення акціонерів про проведення загальних зборів та відмова від проведення загальних зборів акціонерів упродовж декількох років. Отже, вже до кінця масової приватизації стало зрозумілим, що багато акціонерних товариств залишилися такими тільки на па</w:t>
      </w:r>
      <w:r>
        <w:t>пері, оскільки через різні причини не в змозі виконати вимоги, пов’язані з побудовою ефективної системи корпоративного управління.</w:t>
      </w:r>
    </w:p>
    <w:p w:rsidR="00B204D2" w:rsidRDefault="00D66882">
      <w:pPr>
        <w:pStyle w:val="a7"/>
        <w:framePr w:w="7997" w:h="11045" w:hRule="exact" w:wrap="around" w:vAnchor="page" w:hAnchor="page" w:x="1960" w:y="2777"/>
        <w:shd w:val="clear" w:color="auto" w:fill="auto"/>
        <w:spacing w:before="0"/>
        <w:ind w:left="20" w:right="20" w:firstLine="280"/>
      </w:pPr>
      <w:r>
        <w:t>До теперішнього часу ситуація на краще суттєво не змінилася, ілюстрацією чого є дані, наведені у табл. 1. На перший погляд, з</w:t>
      </w:r>
      <w:r>
        <w:t>агальна кількість акціонерних товариств зменшилась, з’явилися акціонерні товариства, які привели свої установчі документи до вимог нового законодавства. У той же час значно зросла кількість акціонерних товариств, які не виконують вимог чинного законодавств</w:t>
      </w:r>
      <w:r>
        <w:t>а. Враховуючи те, що акціонерами в процесі масової приватизації стали мільйони українців, що корпоративні права багатьох з них порушуються доволі часто, а принципи корпоративного управління поділяють далеко не всі акціонерні товариства, стає зрозумілим пра</w:t>
      </w:r>
      <w:r>
        <w:t>гнення державних органів створити передумови для того, щоб дрібні, фінансово нестійкі або проблемні акціонерні товариства припинили своє існування й перетворилися в інші господарські товариства або припинили свою діяльність взагалі.</w:t>
      </w:r>
    </w:p>
    <w:p w:rsidR="00B204D2" w:rsidRDefault="00D66882">
      <w:pPr>
        <w:pStyle w:val="a7"/>
        <w:framePr w:w="7997" w:h="11045" w:hRule="exact" w:wrap="around" w:vAnchor="page" w:hAnchor="page" w:x="1960" w:y="2777"/>
        <w:shd w:val="clear" w:color="auto" w:fill="auto"/>
        <w:spacing w:before="0"/>
        <w:ind w:left="20" w:right="20" w:firstLine="280"/>
      </w:pPr>
      <w:r>
        <w:t xml:space="preserve">Прагнення реалізувати </w:t>
      </w:r>
      <w:r>
        <w:t>цей намір на практиці породило чимало проектних рішень і з боку законодавців, і регуляторних органів, і збоку підприємницьких структур. У контексті розвитку корпоративних відносин багато з цих рішень важко охарактеризувати з позитивної</w:t>
      </w:r>
    </w:p>
    <w:p w:rsidR="00B204D2" w:rsidRDefault="00D66882">
      <w:pPr>
        <w:pStyle w:val="a5"/>
        <w:framePr w:wrap="around" w:vAnchor="page" w:hAnchor="page" w:x="1951" w:y="14507"/>
        <w:shd w:val="clear" w:color="auto" w:fill="auto"/>
        <w:spacing w:before="0" w:line="150" w:lineRule="exact"/>
        <w:ind w:left="20"/>
      </w:pPr>
      <w:r>
        <w:t>110</w:t>
      </w:r>
    </w:p>
    <w:p w:rsidR="00B204D2" w:rsidRDefault="00D66882">
      <w:pPr>
        <w:pStyle w:val="a5"/>
        <w:framePr w:wrap="around" w:vAnchor="page" w:hAnchor="page" w:x="7000" w:y="14507"/>
        <w:shd w:val="clear" w:color="auto" w:fill="auto"/>
        <w:spacing w:before="0" w:line="150" w:lineRule="exact"/>
        <w:ind w:left="20"/>
      </w:pPr>
      <w:r>
        <w:t xml:space="preserve">Управлінські </w:t>
      </w:r>
      <w:r>
        <w:t>інновації 3/2013 р.</w:t>
      </w:r>
    </w:p>
    <w:p w:rsidR="00B204D2" w:rsidRDefault="00B204D2">
      <w:pPr>
        <w:rPr>
          <w:sz w:val="2"/>
          <w:szCs w:val="2"/>
        </w:rPr>
        <w:sectPr w:rsidR="00B204D2">
          <w:pgSz w:w="11909" w:h="16838"/>
          <w:pgMar w:top="0" w:right="0" w:bottom="0" w:left="0" w:header="0" w:footer="3" w:gutter="0"/>
          <w:cols w:space="720"/>
          <w:noEndnote/>
          <w:docGrid w:linePitch="360"/>
        </w:sectPr>
      </w:pPr>
    </w:p>
    <w:p w:rsidR="00B204D2" w:rsidRDefault="00D66882">
      <w:pPr>
        <w:pStyle w:val="a5"/>
        <w:framePr w:wrap="around" w:vAnchor="page" w:hAnchor="page" w:x="4557" w:y="2312"/>
        <w:shd w:val="clear" w:color="auto" w:fill="auto"/>
        <w:spacing w:before="0" w:line="150" w:lineRule="exact"/>
        <w:ind w:left="20"/>
      </w:pPr>
      <w:r>
        <w:lastRenderedPageBreak/>
        <w:t>Впровадження управлінських інновацій на підприємствах</w:t>
      </w:r>
    </w:p>
    <w:p w:rsidR="00B204D2" w:rsidRDefault="00D66882">
      <w:pPr>
        <w:pStyle w:val="a7"/>
        <w:framePr w:w="8006" w:h="3739" w:hRule="exact" w:wrap="around" w:vAnchor="page" w:hAnchor="page" w:x="1955" w:y="2746"/>
        <w:shd w:val="clear" w:color="auto" w:fill="auto"/>
        <w:spacing w:before="0"/>
        <w:ind w:left="20" w:right="20"/>
      </w:pPr>
      <w:r>
        <w:t>сторони. Перш за все, істотно ускладнювала процес перетворення акціонерних товариств в суб’єкти інших організаційно-правових форм господарювання законодавча нор</w:t>
      </w:r>
      <w:r>
        <w:t>ма про максимально можливу кількість учасників такої форми господарського товариства, як товариство з обмеженою відповідальністю. До недавнього часу кількість учасників товариства з обмеженою відповідальністю не могла перевищувати 10 осіб, сьогодні ця межа</w:t>
      </w:r>
      <w:r>
        <w:t xml:space="preserve"> підвищена до 100 учасників. Отже, значне число акціонерних товариств, які вбачають за доцільне отримати іншу господарсько-правову форму організації бізнесу, але мають у своєму складі від декількох десятків до декількох сотень акціонерів, не можуть обрати </w:t>
      </w:r>
      <w:r>
        <w:t>правонаступником товариство з обмеженою відповідальністю, яке за своєю природою є найбільш близьким до акціонерної форми.</w:t>
      </w:r>
    </w:p>
    <w:p w:rsidR="00B204D2" w:rsidRDefault="00D66882">
      <w:pPr>
        <w:pStyle w:val="30"/>
        <w:framePr w:w="8006" w:h="3739" w:hRule="exact" w:wrap="around" w:vAnchor="page" w:hAnchor="page" w:x="1955" w:y="2746"/>
        <w:shd w:val="clear" w:color="auto" w:fill="auto"/>
        <w:spacing w:after="64" w:line="274" w:lineRule="exact"/>
        <w:ind w:right="20" w:firstLine="0"/>
        <w:jc w:val="right"/>
      </w:pPr>
      <w:r>
        <w:t>Таблиця 1</w:t>
      </w:r>
    </w:p>
    <w:p w:rsidR="00B204D2" w:rsidRDefault="00D66882">
      <w:pPr>
        <w:pStyle w:val="50"/>
        <w:framePr w:w="8006" w:h="3739" w:hRule="exact" w:wrap="around" w:vAnchor="page" w:hAnchor="page" w:x="1955" w:y="2746"/>
        <w:shd w:val="clear" w:color="auto" w:fill="auto"/>
        <w:spacing w:before="0" w:after="0"/>
      </w:pPr>
      <w:r>
        <w:t>Кількість господарськихтовариств-суб’єктів ЄДРПОУ за організаційно-правовими формами господарювання (на початок року)</w:t>
      </w:r>
    </w:p>
    <w:tbl>
      <w:tblPr>
        <w:tblOverlap w:val="never"/>
        <w:tblW w:w="0" w:type="auto"/>
        <w:tblLayout w:type="fixed"/>
        <w:tblCellMar>
          <w:left w:w="10" w:type="dxa"/>
          <w:right w:w="10" w:type="dxa"/>
        </w:tblCellMar>
        <w:tblLook w:val="04A0"/>
      </w:tblPr>
      <w:tblGrid>
        <w:gridCol w:w="1944"/>
        <w:gridCol w:w="835"/>
        <w:gridCol w:w="835"/>
        <w:gridCol w:w="840"/>
        <w:gridCol w:w="898"/>
        <w:gridCol w:w="878"/>
        <w:gridCol w:w="878"/>
        <w:gridCol w:w="883"/>
      </w:tblGrid>
      <w:tr w:rsidR="00B204D2">
        <w:tblPrEx>
          <w:tblCellMar>
            <w:top w:w="0" w:type="dxa"/>
            <w:bottom w:w="0" w:type="dxa"/>
          </w:tblCellMar>
        </w:tblPrEx>
        <w:trPr>
          <w:trHeight w:hRule="exact" w:val="984"/>
        </w:trPr>
        <w:tc>
          <w:tcPr>
            <w:tcW w:w="1944"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92" w:lineRule="exact"/>
              <w:jc w:val="center"/>
            </w:pPr>
            <w:r>
              <w:rPr>
                <w:rStyle w:val="75pt"/>
              </w:rPr>
              <w:t>Організаційно</w:t>
            </w:r>
            <w:r>
              <w:rPr>
                <w:rStyle w:val="75pt0pt"/>
              </w:rPr>
              <w:t xml:space="preserve">- </w:t>
            </w:r>
            <w:r>
              <w:rPr>
                <w:rStyle w:val="75pt"/>
              </w:rPr>
              <w:t>правова форма господарського товариства</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
              </w:rPr>
              <w:t>2001 р.</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
              </w:rPr>
              <w:t>2006 р.</w:t>
            </w:r>
          </w:p>
        </w:tc>
        <w:tc>
          <w:tcPr>
            <w:tcW w:w="840"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
              </w:rPr>
              <w:t>2008 р.</w:t>
            </w:r>
          </w:p>
        </w:tc>
        <w:tc>
          <w:tcPr>
            <w:tcW w:w="89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jc w:val="center"/>
            </w:pPr>
            <w:r>
              <w:rPr>
                <w:rStyle w:val="75pt0pt"/>
              </w:rPr>
              <w:t>2009 р.</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left="140"/>
              <w:jc w:val="left"/>
            </w:pPr>
            <w:r>
              <w:rPr>
                <w:rStyle w:val="75pt0pt"/>
              </w:rPr>
              <w:t>2010 р.</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left="140"/>
              <w:jc w:val="left"/>
            </w:pPr>
            <w:r>
              <w:rPr>
                <w:rStyle w:val="75pt0pt"/>
              </w:rPr>
              <w:t>2011 р.</w:t>
            </w:r>
          </w:p>
        </w:tc>
        <w:tc>
          <w:tcPr>
            <w:tcW w:w="883" w:type="dxa"/>
            <w:tcBorders>
              <w:top w:val="single" w:sz="4" w:space="0" w:color="auto"/>
              <w:left w:val="single" w:sz="4" w:space="0" w:color="auto"/>
              <w:righ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left="140"/>
              <w:jc w:val="left"/>
            </w:pPr>
            <w:r>
              <w:rPr>
                <w:rStyle w:val="75pt0pt"/>
              </w:rPr>
              <w:t>2012 р.</w:t>
            </w:r>
          </w:p>
        </w:tc>
      </w:tr>
      <w:tr w:rsidR="00B204D2">
        <w:tblPrEx>
          <w:tblCellMar>
            <w:top w:w="0" w:type="dxa"/>
            <w:bottom w:w="0" w:type="dxa"/>
          </w:tblCellMar>
        </w:tblPrEx>
        <w:trPr>
          <w:trHeight w:hRule="exact" w:val="701"/>
        </w:trPr>
        <w:tc>
          <w:tcPr>
            <w:tcW w:w="1944"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92" w:lineRule="exact"/>
              <w:ind w:left="100"/>
              <w:jc w:val="left"/>
            </w:pPr>
            <w:r>
              <w:rPr>
                <w:rStyle w:val="75pt0pt0"/>
              </w:rPr>
              <w:t>Акціонерні товариства, з них</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34942</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33976</w:t>
            </w:r>
          </w:p>
        </w:tc>
        <w:tc>
          <w:tcPr>
            <w:tcW w:w="840"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31993</w:t>
            </w:r>
          </w:p>
        </w:tc>
        <w:tc>
          <w:tcPr>
            <w:tcW w:w="89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31100</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30169</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28748</w:t>
            </w:r>
          </w:p>
        </w:tc>
        <w:tc>
          <w:tcPr>
            <w:tcW w:w="883" w:type="dxa"/>
            <w:tcBorders>
              <w:top w:val="single" w:sz="4" w:space="0" w:color="auto"/>
              <w:left w:val="single" w:sz="4" w:space="0" w:color="auto"/>
              <w:righ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26568</w:t>
            </w:r>
          </w:p>
        </w:tc>
      </w:tr>
      <w:tr w:rsidR="00B204D2">
        <w:tblPrEx>
          <w:tblCellMar>
            <w:top w:w="0" w:type="dxa"/>
            <w:bottom w:w="0" w:type="dxa"/>
          </w:tblCellMar>
        </w:tblPrEx>
        <w:trPr>
          <w:trHeight w:hRule="exact" w:val="274"/>
        </w:trPr>
        <w:tc>
          <w:tcPr>
            <w:tcW w:w="1944"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left="360"/>
              <w:jc w:val="left"/>
            </w:pPr>
            <w:r>
              <w:rPr>
                <w:rStyle w:val="75pt0pt0"/>
              </w:rPr>
              <w:t>публічні</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jc w:val="center"/>
            </w:pPr>
            <w:r>
              <w:rPr>
                <w:rStyle w:val="75pt0pt0"/>
              </w:rPr>
              <w:t>-</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jc w:val="center"/>
            </w:pPr>
            <w:r>
              <w:rPr>
                <w:rStyle w:val="75pt0pt0"/>
              </w:rPr>
              <w:t>-</w:t>
            </w:r>
          </w:p>
        </w:tc>
        <w:tc>
          <w:tcPr>
            <w:tcW w:w="840"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jc w:val="center"/>
            </w:pPr>
            <w:r>
              <w:rPr>
                <w:rStyle w:val="75pt0pt0"/>
              </w:rPr>
              <w:t>-</w:t>
            </w:r>
          </w:p>
        </w:tc>
        <w:tc>
          <w:tcPr>
            <w:tcW w:w="89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jc w:val="center"/>
            </w:pPr>
            <w:r>
              <w:rPr>
                <w:rStyle w:val="75pt0pt0"/>
              </w:rPr>
              <w:t>-</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194</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926</w:t>
            </w:r>
          </w:p>
        </w:tc>
        <w:tc>
          <w:tcPr>
            <w:tcW w:w="883" w:type="dxa"/>
            <w:tcBorders>
              <w:top w:val="single" w:sz="4" w:space="0" w:color="auto"/>
              <w:left w:val="single" w:sz="4" w:space="0" w:color="auto"/>
              <w:righ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2894</w:t>
            </w:r>
          </w:p>
        </w:tc>
      </w:tr>
      <w:tr w:rsidR="00B204D2">
        <w:tblPrEx>
          <w:tblCellMar>
            <w:top w:w="0" w:type="dxa"/>
            <w:bottom w:w="0" w:type="dxa"/>
          </w:tblCellMar>
        </w:tblPrEx>
        <w:trPr>
          <w:trHeight w:hRule="exact" w:val="274"/>
        </w:trPr>
        <w:tc>
          <w:tcPr>
            <w:tcW w:w="1944"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left="360"/>
              <w:jc w:val="left"/>
            </w:pPr>
            <w:r>
              <w:rPr>
                <w:rStyle w:val="75pt0pt0"/>
              </w:rPr>
              <w:t>приватні</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jc w:val="center"/>
            </w:pPr>
            <w:r>
              <w:rPr>
                <w:rStyle w:val="75pt0pt0"/>
              </w:rPr>
              <w:t>-</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jc w:val="center"/>
            </w:pPr>
            <w:r>
              <w:rPr>
                <w:rStyle w:val="75pt0pt0"/>
              </w:rPr>
              <w:t>-</w:t>
            </w:r>
          </w:p>
        </w:tc>
        <w:tc>
          <w:tcPr>
            <w:tcW w:w="840"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jc w:val="center"/>
            </w:pPr>
            <w:r>
              <w:rPr>
                <w:rStyle w:val="75pt0pt0"/>
              </w:rPr>
              <w:t>-</w:t>
            </w:r>
          </w:p>
        </w:tc>
        <w:tc>
          <w:tcPr>
            <w:tcW w:w="89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jc w:val="center"/>
            </w:pPr>
            <w:r>
              <w:rPr>
                <w:rStyle w:val="75pt0pt0"/>
              </w:rPr>
              <w:t>-</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172</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1326</w:t>
            </w:r>
          </w:p>
        </w:tc>
        <w:tc>
          <w:tcPr>
            <w:tcW w:w="883" w:type="dxa"/>
            <w:tcBorders>
              <w:top w:val="single" w:sz="4" w:space="0" w:color="auto"/>
              <w:left w:val="single" w:sz="4" w:space="0" w:color="auto"/>
              <w:righ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4000</w:t>
            </w:r>
          </w:p>
        </w:tc>
      </w:tr>
      <w:tr w:rsidR="00B204D2">
        <w:tblPrEx>
          <w:tblCellMar>
            <w:top w:w="0" w:type="dxa"/>
            <w:bottom w:w="0" w:type="dxa"/>
          </w:tblCellMar>
        </w:tblPrEx>
        <w:trPr>
          <w:trHeight w:hRule="exact" w:val="288"/>
        </w:trPr>
        <w:tc>
          <w:tcPr>
            <w:tcW w:w="1944"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left="360"/>
              <w:jc w:val="left"/>
            </w:pPr>
            <w:r>
              <w:rPr>
                <w:rStyle w:val="75pt0pt0"/>
              </w:rPr>
              <w:t>відкриті</w:t>
            </w:r>
          </w:p>
        </w:tc>
        <w:tc>
          <w:tcPr>
            <w:tcW w:w="835"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12089</w:t>
            </w:r>
          </w:p>
        </w:tc>
        <w:tc>
          <w:tcPr>
            <w:tcW w:w="835"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11345</w:t>
            </w:r>
          </w:p>
        </w:tc>
        <w:tc>
          <w:tcPr>
            <w:tcW w:w="840"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10406</w:t>
            </w:r>
          </w:p>
        </w:tc>
        <w:tc>
          <w:tcPr>
            <w:tcW w:w="898"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10058</w:t>
            </w:r>
          </w:p>
        </w:tc>
        <w:tc>
          <w:tcPr>
            <w:tcW w:w="878"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9480</w:t>
            </w:r>
          </w:p>
        </w:tc>
        <w:tc>
          <w:tcPr>
            <w:tcW w:w="878"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7962</w:t>
            </w:r>
          </w:p>
        </w:tc>
        <w:tc>
          <w:tcPr>
            <w:tcW w:w="883" w:type="dxa"/>
            <w:tcBorders>
              <w:top w:val="single" w:sz="4" w:space="0" w:color="auto"/>
              <w:left w:val="single" w:sz="4" w:space="0" w:color="auto"/>
              <w:righ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4649</w:t>
            </w:r>
          </w:p>
        </w:tc>
      </w:tr>
      <w:tr w:rsidR="00B204D2">
        <w:tblPrEx>
          <w:tblCellMar>
            <w:top w:w="0" w:type="dxa"/>
            <w:bottom w:w="0" w:type="dxa"/>
          </w:tblCellMar>
        </w:tblPrEx>
        <w:trPr>
          <w:trHeight w:hRule="exact" w:val="264"/>
        </w:trPr>
        <w:tc>
          <w:tcPr>
            <w:tcW w:w="1944"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left="360"/>
              <w:jc w:val="left"/>
            </w:pPr>
            <w:r>
              <w:rPr>
                <w:rStyle w:val="75pt0pt0"/>
              </w:rPr>
              <w:t>закриті</w:t>
            </w:r>
          </w:p>
        </w:tc>
        <w:tc>
          <w:tcPr>
            <w:tcW w:w="835" w:type="dxa"/>
            <w:tcBorders>
              <w:top w:val="single" w:sz="4" w:space="0" w:color="auto"/>
              <w:left w:val="single" w:sz="4" w:space="0" w:color="auto"/>
            </w:tcBorders>
            <w:shd w:val="clear" w:color="auto" w:fill="FFFFFF"/>
            <w:vAlign w:val="bottom"/>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22100</w:t>
            </w:r>
          </w:p>
        </w:tc>
        <w:tc>
          <w:tcPr>
            <w:tcW w:w="835"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21948</w:t>
            </w:r>
          </w:p>
        </w:tc>
        <w:tc>
          <w:tcPr>
            <w:tcW w:w="840"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21098</w:t>
            </w:r>
          </w:p>
        </w:tc>
        <w:tc>
          <w:tcPr>
            <w:tcW w:w="898"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20502</w:t>
            </w:r>
          </w:p>
        </w:tc>
        <w:tc>
          <w:tcPr>
            <w:tcW w:w="878"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19649</w:t>
            </w:r>
          </w:p>
        </w:tc>
        <w:tc>
          <w:tcPr>
            <w:tcW w:w="878" w:type="dxa"/>
            <w:tcBorders>
              <w:top w:val="single" w:sz="4" w:space="0" w:color="auto"/>
              <w:lef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17804</w:t>
            </w:r>
          </w:p>
        </w:tc>
        <w:tc>
          <w:tcPr>
            <w:tcW w:w="883" w:type="dxa"/>
            <w:tcBorders>
              <w:top w:val="single" w:sz="4" w:space="0" w:color="auto"/>
              <w:left w:val="single" w:sz="4" w:space="0" w:color="auto"/>
              <w:righ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14366</w:t>
            </w:r>
          </w:p>
        </w:tc>
      </w:tr>
      <w:tr w:rsidR="00B204D2">
        <w:tblPrEx>
          <w:tblCellMar>
            <w:top w:w="0" w:type="dxa"/>
            <w:bottom w:w="0" w:type="dxa"/>
          </w:tblCellMar>
        </w:tblPrEx>
        <w:trPr>
          <w:trHeight w:hRule="exact" w:val="696"/>
        </w:trPr>
        <w:tc>
          <w:tcPr>
            <w:tcW w:w="1944" w:type="dxa"/>
            <w:tcBorders>
              <w:top w:val="single" w:sz="4" w:space="0" w:color="auto"/>
              <w:left w:val="single" w:sz="4" w:space="0" w:color="auto"/>
            </w:tcBorders>
            <w:shd w:val="clear" w:color="auto" w:fill="FFFFFF"/>
            <w:vAlign w:val="bottom"/>
          </w:tcPr>
          <w:p w:rsidR="00B204D2" w:rsidRDefault="00D66882">
            <w:pPr>
              <w:pStyle w:val="a7"/>
              <w:framePr w:w="7992" w:h="5299" w:wrap="around" w:vAnchor="page" w:hAnchor="page" w:x="1960" w:y="6771"/>
              <w:shd w:val="clear" w:color="auto" w:fill="auto"/>
              <w:spacing w:before="0" w:line="197" w:lineRule="exact"/>
              <w:ind w:left="100"/>
              <w:jc w:val="left"/>
            </w:pPr>
            <w:r>
              <w:rPr>
                <w:rStyle w:val="75pt0pt0"/>
              </w:rPr>
              <w:t>Товариства з обмеженою відповідальністю</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221905</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325925</w:t>
            </w:r>
          </w:p>
        </w:tc>
        <w:tc>
          <w:tcPr>
            <w:tcW w:w="840"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381205</w:t>
            </w:r>
          </w:p>
        </w:tc>
        <w:tc>
          <w:tcPr>
            <w:tcW w:w="89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404525</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418145</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443223</w:t>
            </w:r>
          </w:p>
        </w:tc>
        <w:tc>
          <w:tcPr>
            <w:tcW w:w="883" w:type="dxa"/>
            <w:tcBorders>
              <w:top w:val="single" w:sz="4" w:space="0" w:color="auto"/>
              <w:left w:val="single" w:sz="4" w:space="0" w:color="auto"/>
              <w:righ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467822</w:t>
            </w:r>
          </w:p>
        </w:tc>
      </w:tr>
      <w:tr w:rsidR="00B204D2">
        <w:tblPrEx>
          <w:tblCellMar>
            <w:top w:w="0" w:type="dxa"/>
            <w:bottom w:w="0" w:type="dxa"/>
          </w:tblCellMar>
        </w:tblPrEx>
        <w:trPr>
          <w:trHeight w:hRule="exact" w:val="701"/>
        </w:trPr>
        <w:tc>
          <w:tcPr>
            <w:tcW w:w="1944" w:type="dxa"/>
            <w:tcBorders>
              <w:top w:val="single" w:sz="4" w:space="0" w:color="auto"/>
              <w:left w:val="single" w:sz="4" w:space="0" w:color="auto"/>
            </w:tcBorders>
            <w:shd w:val="clear" w:color="auto" w:fill="FFFFFF"/>
            <w:vAlign w:val="bottom"/>
          </w:tcPr>
          <w:p w:rsidR="00B204D2" w:rsidRDefault="00D66882">
            <w:pPr>
              <w:pStyle w:val="a7"/>
              <w:framePr w:w="7992" w:h="5299" w:wrap="around" w:vAnchor="page" w:hAnchor="page" w:x="1960" w:y="6771"/>
              <w:shd w:val="clear" w:color="auto" w:fill="auto"/>
              <w:spacing w:before="0" w:line="197" w:lineRule="exact"/>
              <w:ind w:left="100"/>
              <w:jc w:val="left"/>
            </w:pPr>
            <w:r>
              <w:rPr>
                <w:rStyle w:val="75pt0pt0"/>
              </w:rPr>
              <w:t>Товариства з додатковою відповідальністю</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719</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700</w:t>
            </w:r>
          </w:p>
        </w:tc>
        <w:tc>
          <w:tcPr>
            <w:tcW w:w="840"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730</w:t>
            </w:r>
          </w:p>
        </w:tc>
        <w:tc>
          <w:tcPr>
            <w:tcW w:w="89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761</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782</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945</w:t>
            </w:r>
          </w:p>
        </w:tc>
        <w:tc>
          <w:tcPr>
            <w:tcW w:w="883" w:type="dxa"/>
            <w:tcBorders>
              <w:top w:val="single" w:sz="4" w:space="0" w:color="auto"/>
              <w:left w:val="single" w:sz="4" w:space="0" w:color="auto"/>
              <w:righ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1420</w:t>
            </w:r>
          </w:p>
        </w:tc>
      </w:tr>
      <w:tr w:rsidR="00B204D2">
        <w:tblPrEx>
          <w:tblCellMar>
            <w:top w:w="0" w:type="dxa"/>
            <w:bottom w:w="0" w:type="dxa"/>
          </w:tblCellMar>
        </w:tblPrEx>
        <w:trPr>
          <w:trHeight w:hRule="exact" w:val="274"/>
        </w:trPr>
        <w:tc>
          <w:tcPr>
            <w:tcW w:w="1944" w:type="dxa"/>
            <w:tcBorders>
              <w:top w:val="single" w:sz="4" w:space="0" w:color="auto"/>
              <w:left w:val="single" w:sz="4" w:space="0" w:color="auto"/>
            </w:tcBorders>
            <w:shd w:val="clear" w:color="auto" w:fill="FFFFFF"/>
            <w:vAlign w:val="bottom"/>
          </w:tcPr>
          <w:p w:rsidR="00B204D2" w:rsidRDefault="00D66882">
            <w:pPr>
              <w:pStyle w:val="a7"/>
              <w:framePr w:w="7992" w:h="5299" w:wrap="around" w:vAnchor="page" w:hAnchor="page" w:x="1960" w:y="6771"/>
              <w:shd w:val="clear" w:color="auto" w:fill="auto"/>
              <w:spacing w:before="0" w:line="150" w:lineRule="exact"/>
              <w:ind w:left="100"/>
              <w:jc w:val="left"/>
            </w:pPr>
            <w:r>
              <w:rPr>
                <w:rStyle w:val="75pt0pt0"/>
              </w:rPr>
              <w:t>Повні товариства</w:t>
            </w:r>
          </w:p>
        </w:tc>
        <w:tc>
          <w:tcPr>
            <w:tcW w:w="835" w:type="dxa"/>
            <w:tcBorders>
              <w:top w:val="single" w:sz="4" w:space="0" w:color="auto"/>
              <w:left w:val="single" w:sz="4" w:space="0" w:color="auto"/>
            </w:tcBorders>
            <w:shd w:val="clear" w:color="auto" w:fill="FFFFFF"/>
            <w:vAlign w:val="bottom"/>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1997</w:t>
            </w:r>
          </w:p>
        </w:tc>
        <w:tc>
          <w:tcPr>
            <w:tcW w:w="835" w:type="dxa"/>
            <w:tcBorders>
              <w:top w:val="single" w:sz="4" w:space="0" w:color="auto"/>
              <w:left w:val="single" w:sz="4" w:space="0" w:color="auto"/>
            </w:tcBorders>
            <w:shd w:val="clear" w:color="auto" w:fill="FFFFFF"/>
            <w:vAlign w:val="bottom"/>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1997</w:t>
            </w:r>
          </w:p>
        </w:tc>
        <w:tc>
          <w:tcPr>
            <w:tcW w:w="840" w:type="dxa"/>
            <w:tcBorders>
              <w:top w:val="single" w:sz="4" w:space="0" w:color="auto"/>
              <w:left w:val="single" w:sz="4" w:space="0" w:color="auto"/>
            </w:tcBorders>
            <w:shd w:val="clear" w:color="auto" w:fill="FFFFFF"/>
            <w:vAlign w:val="bottom"/>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1948</w:t>
            </w:r>
          </w:p>
        </w:tc>
        <w:tc>
          <w:tcPr>
            <w:tcW w:w="898" w:type="dxa"/>
            <w:tcBorders>
              <w:top w:val="single" w:sz="4" w:space="0" w:color="auto"/>
              <w:left w:val="single" w:sz="4" w:space="0" w:color="auto"/>
            </w:tcBorders>
            <w:shd w:val="clear" w:color="auto" w:fill="FFFFFF"/>
            <w:vAlign w:val="bottom"/>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1939</w:t>
            </w:r>
          </w:p>
        </w:tc>
        <w:tc>
          <w:tcPr>
            <w:tcW w:w="878" w:type="dxa"/>
            <w:tcBorders>
              <w:top w:val="single" w:sz="4" w:space="0" w:color="auto"/>
              <w:left w:val="single" w:sz="4" w:space="0" w:color="auto"/>
            </w:tcBorders>
            <w:shd w:val="clear" w:color="auto" w:fill="FFFFFF"/>
            <w:vAlign w:val="bottom"/>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2084</w:t>
            </w:r>
          </w:p>
        </w:tc>
        <w:tc>
          <w:tcPr>
            <w:tcW w:w="878" w:type="dxa"/>
            <w:tcBorders>
              <w:top w:val="single" w:sz="4" w:space="0" w:color="auto"/>
              <w:left w:val="single" w:sz="4" w:space="0" w:color="auto"/>
            </w:tcBorders>
            <w:shd w:val="clear" w:color="auto" w:fill="FFFFFF"/>
            <w:vAlign w:val="bottom"/>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2120</w:t>
            </w:r>
          </w:p>
        </w:tc>
        <w:tc>
          <w:tcPr>
            <w:tcW w:w="883" w:type="dxa"/>
            <w:tcBorders>
              <w:top w:val="single" w:sz="4" w:space="0" w:color="auto"/>
              <w:left w:val="single" w:sz="4" w:space="0" w:color="auto"/>
              <w:right w:val="single" w:sz="4" w:space="0" w:color="auto"/>
            </w:tcBorders>
            <w:shd w:val="clear" w:color="auto" w:fill="FFFFFF"/>
            <w:vAlign w:val="bottom"/>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2100</w:t>
            </w:r>
          </w:p>
        </w:tc>
      </w:tr>
      <w:tr w:rsidR="00B204D2">
        <w:tblPrEx>
          <w:tblCellMar>
            <w:top w:w="0" w:type="dxa"/>
            <w:bottom w:w="0" w:type="dxa"/>
          </w:tblCellMar>
        </w:tblPrEx>
        <w:trPr>
          <w:trHeight w:hRule="exact" w:val="562"/>
        </w:trPr>
        <w:tc>
          <w:tcPr>
            <w:tcW w:w="1944" w:type="dxa"/>
            <w:tcBorders>
              <w:top w:val="single" w:sz="4" w:space="0" w:color="auto"/>
              <w:left w:val="single" w:sz="4" w:space="0" w:color="auto"/>
            </w:tcBorders>
            <w:shd w:val="clear" w:color="auto" w:fill="FFFFFF"/>
            <w:vAlign w:val="bottom"/>
          </w:tcPr>
          <w:p w:rsidR="00B204D2" w:rsidRDefault="00D66882">
            <w:pPr>
              <w:pStyle w:val="a7"/>
              <w:framePr w:w="7992" w:h="5299" w:wrap="around" w:vAnchor="page" w:hAnchor="page" w:x="1960" w:y="6771"/>
              <w:shd w:val="clear" w:color="auto" w:fill="auto"/>
              <w:spacing w:before="0" w:after="60" w:line="150" w:lineRule="exact"/>
              <w:ind w:left="100"/>
              <w:jc w:val="left"/>
            </w:pPr>
            <w:r>
              <w:rPr>
                <w:rStyle w:val="75pt0pt0"/>
              </w:rPr>
              <w:t>Командитні</w:t>
            </w:r>
          </w:p>
          <w:p w:rsidR="00B204D2" w:rsidRDefault="00D66882">
            <w:pPr>
              <w:pStyle w:val="a7"/>
              <w:framePr w:w="7992" w:h="5299" w:wrap="around" w:vAnchor="page" w:hAnchor="page" w:x="1960" w:y="6771"/>
              <w:shd w:val="clear" w:color="auto" w:fill="auto"/>
              <w:spacing w:before="60" w:line="150" w:lineRule="exact"/>
              <w:ind w:left="100"/>
              <w:jc w:val="left"/>
            </w:pPr>
            <w:r>
              <w:rPr>
                <w:rStyle w:val="75pt0pt0"/>
              </w:rPr>
              <w:t>товариства</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799</w:t>
            </w:r>
          </w:p>
        </w:tc>
        <w:tc>
          <w:tcPr>
            <w:tcW w:w="835"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690</w:t>
            </w:r>
          </w:p>
        </w:tc>
        <w:tc>
          <w:tcPr>
            <w:tcW w:w="840"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654</w:t>
            </w:r>
          </w:p>
        </w:tc>
        <w:tc>
          <w:tcPr>
            <w:tcW w:w="89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642</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631</w:t>
            </w:r>
          </w:p>
        </w:tc>
        <w:tc>
          <w:tcPr>
            <w:tcW w:w="878" w:type="dxa"/>
            <w:tcBorders>
              <w:top w:val="single" w:sz="4" w:space="0" w:color="auto"/>
              <w:lef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638</w:t>
            </w:r>
          </w:p>
        </w:tc>
        <w:tc>
          <w:tcPr>
            <w:tcW w:w="883" w:type="dxa"/>
            <w:tcBorders>
              <w:top w:val="single" w:sz="4" w:space="0" w:color="auto"/>
              <w:left w:val="single" w:sz="4" w:space="0" w:color="auto"/>
              <w:right w:val="single" w:sz="4" w:space="0" w:color="auto"/>
            </w:tcBorders>
            <w:shd w:val="clear" w:color="auto" w:fill="FFFFFF"/>
            <w:vAlign w:val="center"/>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651</w:t>
            </w:r>
          </w:p>
        </w:tc>
      </w:tr>
      <w:tr w:rsidR="00B204D2">
        <w:tblPrEx>
          <w:tblCellMar>
            <w:top w:w="0" w:type="dxa"/>
            <w:bottom w:w="0" w:type="dxa"/>
          </w:tblCellMar>
        </w:tblPrEx>
        <w:trPr>
          <w:trHeight w:hRule="exact" w:val="283"/>
        </w:trPr>
        <w:tc>
          <w:tcPr>
            <w:tcW w:w="1944" w:type="dxa"/>
            <w:tcBorders>
              <w:top w:val="single" w:sz="4" w:space="0" w:color="auto"/>
              <w:left w:val="single" w:sz="4" w:space="0" w:color="auto"/>
              <w:bottom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left="100"/>
              <w:jc w:val="left"/>
            </w:pPr>
            <w:r>
              <w:rPr>
                <w:rStyle w:val="75pt0pt0"/>
              </w:rPr>
              <w:t>Всього</w:t>
            </w:r>
          </w:p>
        </w:tc>
        <w:tc>
          <w:tcPr>
            <w:tcW w:w="835" w:type="dxa"/>
            <w:tcBorders>
              <w:top w:val="single" w:sz="4" w:space="0" w:color="auto"/>
              <w:left w:val="single" w:sz="4" w:space="0" w:color="auto"/>
              <w:bottom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260322</w:t>
            </w:r>
          </w:p>
        </w:tc>
        <w:tc>
          <w:tcPr>
            <w:tcW w:w="835" w:type="dxa"/>
            <w:tcBorders>
              <w:top w:val="single" w:sz="4" w:space="0" w:color="auto"/>
              <w:left w:val="single" w:sz="4" w:space="0" w:color="auto"/>
              <w:bottom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363288</w:t>
            </w:r>
          </w:p>
        </w:tc>
        <w:tc>
          <w:tcPr>
            <w:tcW w:w="840" w:type="dxa"/>
            <w:tcBorders>
              <w:top w:val="single" w:sz="4" w:space="0" w:color="auto"/>
              <w:left w:val="single" w:sz="4" w:space="0" w:color="auto"/>
              <w:bottom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416230</w:t>
            </w:r>
          </w:p>
        </w:tc>
        <w:tc>
          <w:tcPr>
            <w:tcW w:w="898" w:type="dxa"/>
            <w:tcBorders>
              <w:top w:val="single" w:sz="4" w:space="0" w:color="auto"/>
              <w:left w:val="single" w:sz="4" w:space="0" w:color="auto"/>
              <w:bottom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438967</w:t>
            </w:r>
          </w:p>
        </w:tc>
        <w:tc>
          <w:tcPr>
            <w:tcW w:w="878" w:type="dxa"/>
            <w:tcBorders>
              <w:top w:val="single" w:sz="4" w:space="0" w:color="auto"/>
              <w:left w:val="single" w:sz="4" w:space="0" w:color="auto"/>
              <w:bottom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451811</w:t>
            </w:r>
          </w:p>
        </w:tc>
        <w:tc>
          <w:tcPr>
            <w:tcW w:w="878" w:type="dxa"/>
            <w:tcBorders>
              <w:top w:val="single" w:sz="4" w:space="0" w:color="auto"/>
              <w:left w:val="single" w:sz="4" w:space="0" w:color="auto"/>
              <w:bottom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475674</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B204D2" w:rsidRDefault="00D66882">
            <w:pPr>
              <w:pStyle w:val="a7"/>
              <w:framePr w:w="7992" w:h="5299" w:wrap="around" w:vAnchor="page" w:hAnchor="page" w:x="1960" w:y="6771"/>
              <w:shd w:val="clear" w:color="auto" w:fill="auto"/>
              <w:spacing w:before="0" w:line="150" w:lineRule="exact"/>
              <w:ind w:right="100"/>
              <w:jc w:val="right"/>
            </w:pPr>
            <w:r>
              <w:rPr>
                <w:rStyle w:val="75pt0pt0"/>
              </w:rPr>
              <w:t>498561</w:t>
            </w:r>
          </w:p>
        </w:tc>
      </w:tr>
    </w:tbl>
    <w:p w:rsidR="00B204D2" w:rsidRDefault="00D66882">
      <w:pPr>
        <w:pStyle w:val="a9"/>
        <w:framePr w:w="7498" w:h="197" w:hRule="exact" w:wrap="around" w:vAnchor="page" w:hAnchor="page" w:x="2138" w:y="12315"/>
        <w:shd w:val="clear" w:color="auto" w:fill="auto"/>
        <w:spacing w:line="150" w:lineRule="exact"/>
      </w:pPr>
      <w:r>
        <w:t>Джерело: складено автором на підставі даних Державної служби статистики України [1].</w:t>
      </w:r>
    </w:p>
    <w:p w:rsidR="00B204D2" w:rsidRDefault="00D66882">
      <w:pPr>
        <w:pStyle w:val="a7"/>
        <w:framePr w:w="8006" w:h="1109" w:hRule="exact" w:wrap="around" w:vAnchor="page" w:hAnchor="page" w:x="1955" w:y="12681"/>
        <w:shd w:val="clear" w:color="auto" w:fill="auto"/>
        <w:spacing w:before="0" w:line="269" w:lineRule="exact"/>
        <w:ind w:left="20" w:right="20" w:firstLine="300"/>
      </w:pPr>
      <w:r>
        <w:t xml:space="preserve">Крім </w:t>
      </w:r>
      <w:r>
        <w:t>кількісних обмежень, істотним бар’єром при реалізації таких перетворень була проблема реєстрації учасниками нового товариства тих акціонерів, з якими не були встановлені тісні взаємини, або які довгий час взагалі себе не проявляли як такі в силу різних обс</w:t>
      </w:r>
      <w:r>
        <w:t>тавин. Як відомо, значне число акціонерних товариств України було створено в</w:t>
      </w:r>
    </w:p>
    <w:p w:rsidR="00B204D2" w:rsidRDefault="00D66882">
      <w:pPr>
        <w:pStyle w:val="a5"/>
        <w:framePr w:wrap="around" w:vAnchor="page" w:hAnchor="page" w:x="1936" w:y="14504"/>
        <w:shd w:val="clear" w:color="auto" w:fill="auto"/>
        <w:spacing w:before="0" w:line="150" w:lineRule="exact"/>
        <w:ind w:left="20"/>
      </w:pPr>
      <w:r>
        <w:t>Управлінські інновації 3/2013 р.</w:t>
      </w:r>
    </w:p>
    <w:p w:rsidR="00B204D2" w:rsidRDefault="00D66882">
      <w:pPr>
        <w:pStyle w:val="a5"/>
        <w:framePr w:wrap="around" w:vAnchor="page" w:hAnchor="page" w:x="9669" w:y="14504"/>
        <w:shd w:val="clear" w:color="auto" w:fill="auto"/>
        <w:spacing w:before="0" w:line="150" w:lineRule="exact"/>
        <w:ind w:left="20"/>
      </w:pPr>
      <w:r>
        <w:t>111</w:t>
      </w:r>
    </w:p>
    <w:p w:rsidR="00B204D2" w:rsidRDefault="00B204D2">
      <w:pPr>
        <w:rPr>
          <w:sz w:val="2"/>
          <w:szCs w:val="2"/>
        </w:rPr>
        <w:sectPr w:rsidR="00B204D2">
          <w:pgSz w:w="11909" w:h="16838"/>
          <w:pgMar w:top="0" w:right="0" w:bottom="0" w:left="0" w:header="0" w:footer="3" w:gutter="0"/>
          <w:cols w:space="720"/>
          <w:noEndnote/>
          <w:docGrid w:linePitch="360"/>
        </w:sectPr>
      </w:pPr>
    </w:p>
    <w:p w:rsidR="00B204D2" w:rsidRDefault="00D66882">
      <w:pPr>
        <w:pStyle w:val="20"/>
        <w:framePr w:w="8054" w:h="408" w:hRule="exact" w:wrap="around" w:vAnchor="page" w:hAnchor="page" w:x="1924" w:y="2113"/>
        <w:shd w:val="clear" w:color="auto" w:fill="auto"/>
        <w:spacing w:after="31" w:line="170" w:lineRule="exact"/>
        <w:ind w:left="40"/>
      </w:pPr>
      <w:r>
        <w:lastRenderedPageBreak/>
        <w:t>В. Роменський</w:t>
      </w:r>
    </w:p>
    <w:p w:rsidR="00B204D2" w:rsidRDefault="00D66882">
      <w:pPr>
        <w:pStyle w:val="a5"/>
        <w:framePr w:w="8054" w:h="408" w:hRule="exact" w:wrap="around" w:vAnchor="page" w:hAnchor="page" w:x="1924" w:y="2113"/>
        <w:shd w:val="clear" w:color="auto" w:fill="auto"/>
        <w:spacing w:before="0" w:line="150" w:lineRule="exact"/>
        <w:ind w:left="40"/>
      </w:pPr>
      <w:r>
        <w:t>Реформування системи корпоративних ...</w:t>
      </w:r>
    </w:p>
    <w:p w:rsidR="00B204D2" w:rsidRDefault="00D66882">
      <w:pPr>
        <w:pStyle w:val="a7"/>
        <w:framePr w:w="7992" w:h="11093" w:hRule="exact" w:wrap="around" w:vAnchor="page" w:hAnchor="page" w:x="1963" w:y="2781"/>
        <w:shd w:val="clear" w:color="auto" w:fill="auto"/>
        <w:spacing w:before="0" w:line="269" w:lineRule="exact"/>
        <w:ind w:left="20" w:right="20"/>
      </w:pPr>
      <w:r>
        <w:t xml:space="preserve">процесі приватизації державного майна, коли засобами платежу були </w:t>
      </w:r>
      <w:r>
        <w:t xml:space="preserve">приватизаційні майнові сертифікати й компенсаційні сертифікати та реалізовувалися різні схеми для пільгової участі членів трудового колективу (у тому числі колишніх пенсіонерів) при викупі певної частки майна державних підприємств. Для реалізації подібних </w:t>
      </w:r>
      <w:r>
        <w:t>схем залучалися фінансові посередники, які вирішували проблему викупу в держави якомога більшої кількості акцій. Ці рішення реалізовувалися за допомогою збору тисяч приватизаційних майнових сертифікатів у селах та маленьких містечках, дитячих будинках, зак</w:t>
      </w:r>
      <w:r>
        <w:t>ладах пенітенціарної служби, будинках-інтернатах для людей похилого віку та інвалідів тощо. Часто громадяни, які свідомо (або не зовсім свідомо) довіряли свої приватизаційні цінні папери фінансовим посередникам, ставали учасниками акціонерних товариств, на</w:t>
      </w:r>
      <w:r>
        <w:t>віть не знаючи назви останніх. За час, що минув після закінчення масової приватизації, багато людей змінили місце проживання, діти досягли повноліття і отримали паспорти, багато хто пішов з життя. У реєстрах практично всіх акціонерних товариств, які виникл</w:t>
      </w:r>
      <w:r>
        <w:t>и підчас приватизації, з’явилися так звані «мертві душі», тобто акціонери, зв’язокз якими не був встановлений або перервався з якоїсь причини. Для деяких акціонерних товариств це породило дуже складні проблеми через неможливість проводити загальні збори ак</w:t>
      </w:r>
      <w:r>
        <w:t>ціонерів, які є вищим органом управління товариством через відсутність кворуму. Однак для більшості акціонерних товариств це не стало особливою проблемою, тому що не впливало на поточну діяльність товариства, хоча і створювало певні незручності та вимагало</w:t>
      </w:r>
      <w:r>
        <w:t xml:space="preserve"> додаткових фінансових витрат.</w:t>
      </w:r>
    </w:p>
    <w:p w:rsidR="00B204D2" w:rsidRDefault="00D66882">
      <w:pPr>
        <w:pStyle w:val="a7"/>
        <w:framePr w:w="7992" w:h="11093" w:hRule="exact" w:wrap="around" w:vAnchor="page" w:hAnchor="page" w:x="1963" w:y="2781"/>
        <w:shd w:val="clear" w:color="auto" w:fill="auto"/>
        <w:spacing w:before="0" w:line="269" w:lineRule="exact"/>
        <w:ind w:left="20" w:right="20" w:firstLine="280"/>
      </w:pPr>
      <w:r>
        <w:t>Ця проблема виглядає по-іншому у разі прийняття загальними зборами акціонерів рішення про припинення діяльності акціонерного товариства шляхом його перетворення в інше господарське товариство. Чинне законодавство трактує проц</w:t>
      </w:r>
      <w:r>
        <w:t>ес перетворення одного господарського товариства в інше як припинення діяльності одного з одночасною реєстрацію нового товариства, під час якої проводиться процедура ідентифікації учасників такого товариства, однак у випадку з «мертвими душами» цю процедур</w:t>
      </w:r>
      <w:r>
        <w:t>у виконати на належному рівні практично неможливо. У такій ситуації виникає необхідність пошуку нестандартних, «інноваційних» рішень, у тому числі за рахунок ігнорування деяких норм законодавства, хоча одним з можливих варіантів вирішення цієї непростої пр</w:t>
      </w:r>
      <w:r>
        <w:t>облеми могло б стати внесення до законодавства норми про можливість перетворення акціонерного товариства в інше господарське товариство шляхом його реорганізації, а не припинення діяльності.</w:t>
      </w:r>
    </w:p>
    <w:p w:rsidR="00B204D2" w:rsidRDefault="00D66882">
      <w:pPr>
        <w:pStyle w:val="a7"/>
        <w:framePr w:w="7992" w:h="11093" w:hRule="exact" w:wrap="around" w:vAnchor="page" w:hAnchor="page" w:x="1963" w:y="2781"/>
        <w:shd w:val="clear" w:color="auto" w:fill="auto"/>
        <w:spacing w:before="0" w:line="269" w:lineRule="exact"/>
        <w:ind w:left="20" w:right="20" w:firstLine="280"/>
      </w:pPr>
      <w:r>
        <w:t xml:space="preserve">У даний час для виходу з подібних складних ситуацій </w:t>
      </w:r>
      <w:r>
        <w:t>фахівці-практики, на жаль, змушені займатися пошуком рішень, які іноді мають сумнівний характер. Так, наприклад, як варіант для вирішення проблеми перетворення в інші господарські товариства деякі акціонерні товариства обрали шлях їх перетворення в команди</w:t>
      </w:r>
      <w:r>
        <w:t>тні товариства. Для аргументації на користь вибору такого варіанту завжди використовувалися твердження про відсутність кількісних обмежень учасників командитного товариства і про те, що його учасники поділяються на дві групи: учасники з повною відповідальн</w:t>
      </w:r>
      <w:r>
        <w:t>істю, які несуть відповідальність за зобов’язаннями товариства всім своїм майном (повні учасники), та учасники, відповідальність яких обмежується лише їх внеском у майно товариства</w:t>
      </w:r>
    </w:p>
    <w:p w:rsidR="00B204D2" w:rsidRDefault="00D66882">
      <w:pPr>
        <w:pStyle w:val="a5"/>
        <w:framePr w:wrap="around" w:vAnchor="page" w:hAnchor="page" w:x="1953" w:y="14507"/>
        <w:shd w:val="clear" w:color="auto" w:fill="auto"/>
        <w:spacing w:before="0" w:line="150" w:lineRule="exact"/>
        <w:ind w:left="20"/>
      </w:pPr>
      <w:r>
        <w:t>112</w:t>
      </w:r>
    </w:p>
    <w:p w:rsidR="00B204D2" w:rsidRDefault="00D66882">
      <w:pPr>
        <w:pStyle w:val="a5"/>
        <w:framePr w:wrap="around" w:vAnchor="page" w:hAnchor="page" w:x="7003" w:y="14507"/>
        <w:shd w:val="clear" w:color="auto" w:fill="auto"/>
        <w:spacing w:before="0" w:line="150" w:lineRule="exact"/>
        <w:ind w:left="20"/>
      </w:pPr>
      <w:r>
        <w:t>Управлінські інновації 3/2013 р.</w:t>
      </w:r>
    </w:p>
    <w:p w:rsidR="00B204D2" w:rsidRDefault="00B204D2">
      <w:pPr>
        <w:rPr>
          <w:sz w:val="2"/>
          <w:szCs w:val="2"/>
        </w:rPr>
        <w:sectPr w:rsidR="00B204D2">
          <w:pgSz w:w="11909" w:h="16838"/>
          <w:pgMar w:top="0" w:right="0" w:bottom="0" w:left="0" w:header="0" w:footer="3" w:gutter="0"/>
          <w:cols w:space="720"/>
          <w:noEndnote/>
          <w:docGrid w:linePitch="360"/>
        </w:sectPr>
      </w:pPr>
    </w:p>
    <w:p w:rsidR="00B204D2" w:rsidRDefault="00D66882">
      <w:pPr>
        <w:pStyle w:val="a5"/>
        <w:framePr w:wrap="around" w:vAnchor="page" w:hAnchor="page" w:x="4519" w:y="2295"/>
        <w:shd w:val="clear" w:color="auto" w:fill="auto"/>
        <w:spacing w:before="0" w:line="150" w:lineRule="exact"/>
        <w:ind w:left="20"/>
      </w:pPr>
      <w:r>
        <w:lastRenderedPageBreak/>
        <w:t>Впровадження упр</w:t>
      </w:r>
      <w:r>
        <w:t>авлінських інновацій на підприємствах</w:t>
      </w:r>
    </w:p>
    <w:p w:rsidR="00B204D2" w:rsidRDefault="00D66882">
      <w:pPr>
        <w:pStyle w:val="a7"/>
        <w:framePr w:w="7997" w:h="11357" w:hRule="exact" w:wrap="around" w:vAnchor="page" w:hAnchor="page" w:x="1960" w:y="2734"/>
        <w:shd w:val="clear" w:color="auto" w:fill="auto"/>
        <w:spacing w:before="0"/>
        <w:ind w:left="20" w:right="20"/>
      </w:pPr>
      <w:r>
        <w:t>(вкладники). З господарсько-правової точки зору таке рішення про перетворення акціонерного товариства у командитне виглядає некоректним, тому що в акціонерному товаристві всі акціонери мають рівні за обсягом права (оск</w:t>
      </w:r>
      <w:r>
        <w:t>ільки мова йде про прості акції, які випускалися під час приватизації), а в командитному товаристві є повні учасники, які здійснюють від імені товариства підприємницьку діяльність, та вкладники, які не беруть ніякої участі в управлінні справами товариства.</w:t>
      </w:r>
      <w:r>
        <w:t xml:space="preserve"> Таке рішення з «технічної», організаційної точки зору дозволяє зареєструвати нове господарське товариство, включивши всіх небажаних акціонерів і так званих «мертвих душ» у список вкладників, який має вельми невизначений правовий статус. Жоден законодавчий</w:t>
      </w:r>
      <w:r>
        <w:t xml:space="preserve"> акт України не регулює питання про складання списку вкладників командитного товариства (які відомості до нього вносяться, хто є відповідальним за інформацію, внесену до списку, на підставі якого документу чи інформації відбувається внесення або вилучення </w:t>
      </w:r>
      <w:r>
        <w:t>учасника з цього списку тощо). Видається, що через деякий час із списків вкладників (неосновних учасників) зникнуть усі небажані особи для власників великих часток статутного капіталу таких товариств.</w:t>
      </w:r>
    </w:p>
    <w:p w:rsidR="00B204D2" w:rsidRDefault="00D66882">
      <w:pPr>
        <w:pStyle w:val="a7"/>
        <w:framePr w:w="7997" w:h="11357" w:hRule="exact" w:wrap="around" w:vAnchor="page" w:hAnchor="page" w:x="1960" w:y="2734"/>
        <w:shd w:val="clear" w:color="auto" w:fill="auto"/>
        <w:spacing w:before="0"/>
        <w:ind w:left="20" w:right="20" w:firstLine="280"/>
      </w:pPr>
      <w:r>
        <w:t>Сумнівний характер перетворення акціонерного товариства</w:t>
      </w:r>
      <w:r>
        <w:t xml:space="preserve"> в командитне настільки великий, що реалізація цієї схеми на практиці не стала будь-яким помітним явищем в Україні. Зданих, наведених у табл. 1, видно, що за 2010-2011 роки число командитних товариств зросло несуттєво, однак такий підхід було реалізовано п</w:t>
      </w:r>
      <w:r>
        <w:t>ри перетворенні ВАТ «Запорізький автогенний завод», ВАТ «Запорізький завод високовольтної апаратури», ВАТ «ДОНТЕХГУМА», ВАТ «Рівненське підприємство автобусних станцій» та деяких інших акціонерних товариств. У такий спосіб ці підприємства вирішили для себе</w:t>
      </w:r>
      <w:r>
        <w:t>, як мінімум, дві проблеми: а) відхід від складної та витратної організаційної форми господарювання; б) потенційна можливість очищення списків учасників товариства від усіх «мертвих душ» або великої кількості небажаних міноритарних учасників. З іншого боку</w:t>
      </w:r>
      <w:r>
        <w:t>, подібні рішення мають потенціал конфлікту, оскільки з часом можуть з’явитися правові підстави для позовів зі сторони вилучених учасників. Важливо пам’ятати: рейдерські схеми початку 2000-х років показали, що найчастіше саме такі формальні приводи стали п</w:t>
      </w:r>
      <w:r>
        <w:t>ідставою для спроб захоплення чужої власності і основою для нових конфліктів у сфері корпоративних відносин. Зважаючи на це, у терміновому порядку необхідно вносити зміни до законодавства з метою детальної фіксації механізмів функціонування командитних тов</w:t>
      </w:r>
      <w:r>
        <w:t>ариств, прав і обов’язків всіх його учасників, відповідальності щодо ведення списків повних учасників і вкладників.</w:t>
      </w:r>
    </w:p>
    <w:p w:rsidR="00B204D2" w:rsidRDefault="00D66882">
      <w:pPr>
        <w:pStyle w:val="a7"/>
        <w:framePr w:w="7997" w:h="11357" w:hRule="exact" w:wrap="around" w:vAnchor="page" w:hAnchor="page" w:x="1960" w:y="2734"/>
        <w:shd w:val="clear" w:color="auto" w:fill="auto"/>
        <w:spacing w:before="0"/>
        <w:ind w:left="20" w:right="20" w:firstLine="280"/>
      </w:pPr>
      <w:r>
        <w:t>Більш поширеним для акціонерних товариств, які вирішили отримати інший статус, стало обрання такої форми господарського товариства-правонаст</w:t>
      </w:r>
      <w:r>
        <w:t>упника, як товариство з додатковою відповідальністю. Головним аргументом на користь цієї організаційно-правової форми господарювання стало те, що законодавством не обмежується коло його учасників, і ними, в принципі, можуть стати кілька сотень осіб. Вирішу</w:t>
      </w:r>
      <w:r>
        <w:t>ючи у такий спосіб одну проб</w:t>
      </w:r>
      <w:r>
        <w:softHyphen/>
        <w:t xml:space="preserve">лему - відхід від акціонерної форми ведення бізнесу, суб’єкти постають перед складною проблемою корпоративних відносин - ідентифікації учасників новостворюваного товариства. Веденням реєстрів власників часток (паїв) статутного </w:t>
      </w:r>
      <w:r>
        <w:t>капіталу господарських товариств, відмінних від акціонерних, ніхто вУкраїні спеціально не займається. Державний</w:t>
      </w:r>
    </w:p>
    <w:p w:rsidR="00B204D2" w:rsidRDefault="00D66882">
      <w:pPr>
        <w:pStyle w:val="a5"/>
        <w:framePr w:wrap="around" w:vAnchor="page" w:hAnchor="page" w:x="1936" w:y="14492"/>
        <w:shd w:val="clear" w:color="auto" w:fill="auto"/>
        <w:spacing w:before="0" w:line="150" w:lineRule="exact"/>
        <w:ind w:left="20"/>
      </w:pPr>
      <w:r>
        <w:t>Управлінські інновації 3/2013 р.</w:t>
      </w:r>
    </w:p>
    <w:p w:rsidR="00B204D2" w:rsidRDefault="00D66882">
      <w:pPr>
        <w:pStyle w:val="a5"/>
        <w:framePr w:wrap="around" w:vAnchor="page" w:hAnchor="page" w:x="9669" w:y="14492"/>
        <w:shd w:val="clear" w:color="auto" w:fill="auto"/>
        <w:spacing w:before="0" w:line="150" w:lineRule="exact"/>
        <w:ind w:left="20"/>
      </w:pPr>
      <w:r>
        <w:t>113</w:t>
      </w:r>
    </w:p>
    <w:p w:rsidR="00B204D2" w:rsidRDefault="00B204D2">
      <w:pPr>
        <w:rPr>
          <w:sz w:val="2"/>
          <w:szCs w:val="2"/>
        </w:rPr>
        <w:sectPr w:rsidR="00B204D2">
          <w:pgSz w:w="11909" w:h="16838"/>
          <w:pgMar w:top="0" w:right="0" w:bottom="0" w:left="0" w:header="0" w:footer="3" w:gutter="0"/>
          <w:cols w:space="720"/>
          <w:noEndnote/>
          <w:docGrid w:linePitch="360"/>
        </w:sectPr>
      </w:pPr>
    </w:p>
    <w:p w:rsidR="00B204D2" w:rsidRDefault="00D66882">
      <w:pPr>
        <w:pStyle w:val="20"/>
        <w:framePr w:w="8064" w:h="408" w:hRule="exact" w:wrap="around" w:vAnchor="page" w:hAnchor="page" w:x="1919" w:y="2113"/>
        <w:shd w:val="clear" w:color="auto" w:fill="auto"/>
        <w:spacing w:after="31" w:line="170" w:lineRule="exact"/>
        <w:ind w:left="40"/>
      </w:pPr>
      <w:r>
        <w:lastRenderedPageBreak/>
        <w:t>В. Роменський</w:t>
      </w:r>
    </w:p>
    <w:p w:rsidR="00B204D2" w:rsidRDefault="00D66882">
      <w:pPr>
        <w:pStyle w:val="a5"/>
        <w:framePr w:w="8064" w:h="408" w:hRule="exact" w:wrap="around" w:vAnchor="page" w:hAnchor="page" w:x="1919" w:y="2113"/>
        <w:shd w:val="clear" w:color="auto" w:fill="auto"/>
        <w:spacing w:before="0" w:line="150" w:lineRule="exact"/>
        <w:ind w:left="40"/>
      </w:pPr>
      <w:r>
        <w:t>Реформування системи корпоративних ...</w:t>
      </w:r>
    </w:p>
    <w:p w:rsidR="00B204D2" w:rsidRDefault="00D66882">
      <w:pPr>
        <w:pStyle w:val="a7"/>
        <w:framePr w:w="8002" w:h="11088" w:hRule="exact" w:wrap="around" w:vAnchor="page" w:hAnchor="page" w:x="1958" w:y="2781"/>
        <w:shd w:val="clear" w:color="auto" w:fill="auto"/>
        <w:spacing w:before="0" w:line="269" w:lineRule="exact"/>
        <w:ind w:left="20" w:right="20"/>
      </w:pPr>
      <w:r>
        <w:t xml:space="preserve">реєстратор, в принципі, може </w:t>
      </w:r>
      <w:r>
        <w:t xml:space="preserve">внести до Єдиного державного реєстру будь-яку надану йому інформацію про учасників такого товариства (відповідальність за ці відомості лежить на тих, хто подає документи державному реєстратору), навіть відомості про паспорти і місце проживання учасників - </w:t>
      </w:r>
      <w:r>
        <w:t>фізичних осіб, які вже померли. До функцій Державного реєстратора не належить перевірка такої інформації. Набагато складнішою виглядає ситуація з постановкою такого товариства на облік в органах податкової служби. Будь-які невідповідності в ідентифікаційни</w:t>
      </w:r>
      <w:r>
        <w:t>х кодах учасників товариства обертаються вимогою від податкових органів впорядкувати статутні документи новоствореного товариства. На практиці це досягається шляхом виключення ряду учасників зі складу товариства з додатковою відповідальністю.</w:t>
      </w:r>
    </w:p>
    <w:p w:rsidR="00B204D2" w:rsidRDefault="00D66882">
      <w:pPr>
        <w:pStyle w:val="a7"/>
        <w:framePr w:w="8002" w:h="11088" w:hRule="exact" w:wrap="around" w:vAnchor="page" w:hAnchor="page" w:x="1958" w:y="2781"/>
        <w:shd w:val="clear" w:color="auto" w:fill="auto"/>
        <w:spacing w:before="0" w:line="269" w:lineRule="exact"/>
        <w:ind w:left="20" w:right="20" w:firstLine="280"/>
      </w:pPr>
      <w:r>
        <w:t>При існуванні</w:t>
      </w:r>
      <w:r>
        <w:t xml:space="preserve"> суб’єкта господарювання у формі акціонерного товариства варіант вирішення проблеми шляхом виключення з реєстру власників цінних паперів небажаних акціонерів (або так званих «мертвих душ») був неможливий. Законодавством було передбачено, що перехід права в</w:t>
      </w:r>
      <w:r>
        <w:t>ласності на акції може статися в результаті виконання актів цивільно-правового характеру або за рішенням суду. При всій складності ситуації це забезпечувало достатню стійкість системи корпоративних відносин. Нинішнє законодавство про господарські товариств</w:t>
      </w:r>
      <w:r>
        <w:t>а дозволяє виключати учасника з товариства без його згоди, а при бажанні інших учасників - без його відома. Недовга історія розвитку корпоративних відносин вУкраїні дає привід припустити, що кожний варіант вирішення проблеми позбавлення від небажаних учасн</w:t>
      </w:r>
      <w:r>
        <w:t>иків та «мертвих душ» матиме попит, а реалізація таких рішень на практиці призведе до порушення найважливіших принципів ринкової економіки - недоторканості приватної власності. В чинному законодавстві, в принципі, є норми, які певною мірою можуть захистити</w:t>
      </w:r>
      <w:r>
        <w:t xml:space="preserve"> такого учасника, а саме - відшкодувати йому відповідну частку майна товариства. Однак доводиться констатувати, що зобов’язання товариства виплатити учаснику, який вибув з товариства або виключений зі складу учасників, належну йому частку в майні товариств</w:t>
      </w:r>
      <w:r>
        <w:t>а, не контролюється жодним державним органом, тому доводиться розраховувати тільки на добропорядність учасників, що залишилися у складі господарського товариства, та на наполегливість самого учасника.</w:t>
      </w:r>
    </w:p>
    <w:p w:rsidR="00B204D2" w:rsidRDefault="00D66882">
      <w:pPr>
        <w:pStyle w:val="a7"/>
        <w:framePr w:w="8002" w:h="11088" w:hRule="exact" w:wrap="around" w:vAnchor="page" w:hAnchor="page" w:x="1958" w:y="2781"/>
        <w:shd w:val="clear" w:color="auto" w:fill="auto"/>
        <w:spacing w:before="0" w:line="269" w:lineRule="exact"/>
        <w:ind w:left="20" w:right="20" w:firstLine="280"/>
      </w:pPr>
      <w:r>
        <w:t xml:space="preserve">На жаль, варіанти позбавлення власника його майна, </w:t>
      </w:r>
      <w:r>
        <w:t>уданому випадку цінних паперів, розглядаються не тільки несумлінними учасниками господарських товариств та рейдерами. В одному з недавніх проектів закону про реформування депозитарної системи України було передбачено норму про те, що рахунки у цінних папер</w:t>
      </w:r>
      <w:r>
        <w:t>ах, відкриті на ім’я власника під час дематеріалізації акцій, можуть бути автоматично закриті, а цінні папери переведені на рахунок спеціально уповноваженого державного органу або спеціальні рахунки емітента, якщо власник цінних паперів протягом трьох рокі</w:t>
      </w:r>
      <w:r>
        <w:t>в не звернеться до депозитарної установи. Зрозуміло, що таке «інноваційне» рішення проблеми з боку законодавця викликало різку реакцію експертів та фахівців фондового ринку. Постає питання: невже представники законодавця, які розробляли даний проект, не ро</w:t>
      </w:r>
      <w:r>
        <w:t>зуміли тих негативних наслідків, якими могла обернутися дана «інновація» для розвитку системи корпоративних відносин, інвестиційного клімату України, іміджу країни в цілому?</w:t>
      </w:r>
    </w:p>
    <w:p w:rsidR="00B204D2" w:rsidRDefault="00D66882">
      <w:pPr>
        <w:pStyle w:val="a5"/>
        <w:framePr w:wrap="around" w:vAnchor="page" w:hAnchor="page" w:x="1948" w:y="14507"/>
        <w:shd w:val="clear" w:color="auto" w:fill="auto"/>
        <w:spacing w:before="0" w:line="150" w:lineRule="exact"/>
        <w:ind w:left="20"/>
      </w:pPr>
      <w:r>
        <w:t>114</w:t>
      </w:r>
    </w:p>
    <w:p w:rsidR="00B204D2" w:rsidRDefault="00D66882">
      <w:pPr>
        <w:pStyle w:val="a5"/>
        <w:framePr w:wrap="around" w:vAnchor="page" w:hAnchor="page" w:x="6998" w:y="14507"/>
        <w:shd w:val="clear" w:color="auto" w:fill="auto"/>
        <w:spacing w:before="0" w:line="150" w:lineRule="exact"/>
        <w:ind w:left="20"/>
      </w:pPr>
      <w:r>
        <w:t>Управлінські інновації 3/2013 р.</w:t>
      </w:r>
    </w:p>
    <w:p w:rsidR="00B204D2" w:rsidRDefault="00B204D2">
      <w:pPr>
        <w:rPr>
          <w:sz w:val="2"/>
          <w:szCs w:val="2"/>
        </w:rPr>
        <w:sectPr w:rsidR="00B204D2">
          <w:pgSz w:w="11909" w:h="16838"/>
          <w:pgMar w:top="0" w:right="0" w:bottom="0" w:left="0" w:header="0" w:footer="3" w:gutter="0"/>
          <w:cols w:space="720"/>
          <w:noEndnote/>
          <w:docGrid w:linePitch="360"/>
        </w:sectPr>
      </w:pPr>
    </w:p>
    <w:p w:rsidR="00B204D2" w:rsidRDefault="00D66882">
      <w:pPr>
        <w:pStyle w:val="a5"/>
        <w:framePr w:wrap="around" w:vAnchor="page" w:hAnchor="page" w:x="4550" w:y="2307"/>
        <w:shd w:val="clear" w:color="auto" w:fill="auto"/>
        <w:spacing w:before="0" w:line="150" w:lineRule="exact"/>
        <w:ind w:left="20"/>
      </w:pPr>
      <w:r>
        <w:lastRenderedPageBreak/>
        <w:t>Впровадження управлінсь</w:t>
      </w:r>
      <w:r>
        <w:t>ких інновацій на підприємствах</w:t>
      </w:r>
    </w:p>
    <w:p w:rsidR="00B204D2" w:rsidRDefault="00D66882">
      <w:pPr>
        <w:pStyle w:val="a7"/>
        <w:framePr w:w="8002" w:h="11160" w:hRule="exact" w:wrap="around" w:vAnchor="page" w:hAnchor="page" w:x="1958" w:y="2746"/>
        <w:shd w:val="clear" w:color="auto" w:fill="auto"/>
        <w:spacing w:before="0"/>
        <w:ind w:left="20" w:right="20" w:firstLine="280"/>
      </w:pPr>
      <w:r>
        <w:t>На наш погляд, одним із захисних механізмів інтересів учасника, якого вилучають зі складу товариства, могло б стати обов’язкове відкриття на його ім’я спеціальних депозитних рахунків у нотаріусів та перерахування на ці рахунк</w:t>
      </w:r>
      <w:r>
        <w:t>и відповідних коштів. Для застосування такого або іншого захисного механізму потрібні термінові інноваційні зміни чинного законодавства про господарські товариства.</w:t>
      </w:r>
    </w:p>
    <w:p w:rsidR="00B204D2" w:rsidRDefault="00D66882">
      <w:pPr>
        <w:pStyle w:val="a7"/>
        <w:framePr w:w="8002" w:h="11160" w:hRule="exact" w:wrap="around" w:vAnchor="page" w:hAnchor="page" w:x="1958" w:y="2746"/>
        <w:shd w:val="clear" w:color="auto" w:fill="auto"/>
        <w:spacing w:before="0"/>
        <w:ind w:left="20" w:right="20" w:firstLine="280"/>
      </w:pPr>
      <w:r>
        <w:t>Проблема перетворення акціонерних товариств на суб’єктів інших господарсько- організаційних</w:t>
      </w:r>
      <w:r>
        <w:t xml:space="preserve"> форм має ще одну важливу складову - вартісну. Трактування вчинному законодавстві цього процесу як припинення діяльності акціонерного товариства і паралельного з цим виникнення нового господарського товариства означає необхідність здійснення комплексу проц</w:t>
      </w:r>
      <w:r>
        <w:t>едур, пов’язаних з перереєстрацією прав власності на нерухоме майно та автотранспортні засоби, отримання нових дозвільних документів (ліцензій), звільнення працівників і прийняття їх на роботу знову, зняття з обліку і постановку на облік в органах податков</w:t>
      </w:r>
      <w:r>
        <w:t>ої служби, пенсійного фонду тощо. Все це вимагає не тільки витрат часу, але й витрат, пов’язаних з відрядженнями працівників, сплатою реєстраційних зборів тощо. Зважаючи на це, знову підкреслюємо, що важливо закріпити у законодавчих актах положення, відпов</w:t>
      </w:r>
      <w:r>
        <w:t>ідно до якого процес реорганізації не є припиненням діяльності господарського товариства, а перетворенням однієї організаційно-правової форми ведення бізнесу в іншу.</w:t>
      </w:r>
    </w:p>
    <w:p w:rsidR="00B204D2" w:rsidRDefault="00D66882">
      <w:pPr>
        <w:pStyle w:val="a7"/>
        <w:framePr w:w="8002" w:h="11160" w:hRule="exact" w:wrap="around" w:vAnchor="page" w:hAnchor="page" w:x="1958" w:y="2746"/>
        <w:shd w:val="clear" w:color="auto" w:fill="auto"/>
        <w:spacing w:before="0"/>
        <w:ind w:left="20" w:right="20" w:firstLine="280"/>
      </w:pPr>
      <w:r>
        <w:t xml:space="preserve">Незважаючи на те, що Закон України «Про акціонерні товариства» був прийнятий у 2008 році, </w:t>
      </w:r>
      <w:r>
        <w:t>що прикінцевими й перехідними положеннями Закону був передбачений досить тривалий перехідний період (по суті, в повному обсязі Закон набув чинності лише з 30 квітня 2011 року), багато акціонерних товариств виявилися не готовими до виконання нових законодав</w:t>
      </w:r>
      <w:r>
        <w:t>чих норм. На початок 2012 року тисячі акціонерних товариств не привели свої статутні документи у відповідність з вимогами нового законодавства. Багато акціонерних товариств не перевели акції з документарної форми існування у бездокументарну: за даними Звіт</w:t>
      </w:r>
      <w:r>
        <w:t>у НКЦПФР за 2011 рік [3], станом на 31.12.2011 року в країні у документарній формі існувало ще 6218 випусків цінних паперів, у професійних учасників фондового ринку - реєстраторів, які обслуговують випуски цінних паперів виключно у документарній формі існу</w:t>
      </w:r>
      <w:r>
        <w:t>вання, було відкрито 4,386 млн. особових рахунків у цінних паперах, на яких обліковувалось 155,1 млрд. іменних цінних паперів документарної форми існування загальною номінальною вартістю 70,42 млрд. грн. Безперечно, упродовж останніх років спостереження за</w:t>
      </w:r>
      <w:r>
        <w:t>фіксовано тренди зменшення кількості особових рахунків, відкритих у реєстраторів, а також скорочення випусків акцій, зареєстрованих у документарній формі існування, хоча, відповідно до законодавства, всі випуски акцій необхідно було перевести у бездокумент</w:t>
      </w:r>
      <w:r>
        <w:t>арну форму існування ще до 30 квітня 2011 року. Зі згадуваного Звіту НКЦПФР також випливає, що у 2011 р. до державного регулятора надійшло 5936 звітів (регулярна річна інформація) акціонерних товариств, у тому числі: банків - 174, суб’єктів малого підприєм</w:t>
      </w:r>
      <w:r>
        <w:t>ництва - 2347. Враховуючи те, що в країні на кінець 2011 року було зареєстровано 2894 публічних і 4649 відритих акціонерних товариств та декілька десятків емітентів облігацій, яким, відповідно до законодавства, необхідно</w:t>
      </w:r>
    </w:p>
    <w:p w:rsidR="00B204D2" w:rsidRDefault="00D66882">
      <w:pPr>
        <w:pStyle w:val="a5"/>
        <w:framePr w:wrap="around" w:vAnchor="page" w:hAnchor="page" w:x="1934" w:y="14504"/>
        <w:shd w:val="clear" w:color="auto" w:fill="auto"/>
        <w:spacing w:before="0" w:line="150" w:lineRule="exact"/>
        <w:ind w:left="20"/>
      </w:pPr>
      <w:r>
        <w:t>Управлінські інновації 3/2013 р.</w:t>
      </w:r>
    </w:p>
    <w:p w:rsidR="00B204D2" w:rsidRDefault="00D66882">
      <w:pPr>
        <w:pStyle w:val="a5"/>
        <w:framePr w:wrap="around" w:vAnchor="page" w:hAnchor="page" w:x="9667" w:y="14504"/>
        <w:shd w:val="clear" w:color="auto" w:fill="auto"/>
        <w:spacing w:before="0" w:line="150" w:lineRule="exact"/>
        <w:ind w:left="20"/>
      </w:pPr>
      <w:r>
        <w:t>115</w:t>
      </w:r>
    </w:p>
    <w:p w:rsidR="00B204D2" w:rsidRDefault="00B204D2">
      <w:pPr>
        <w:rPr>
          <w:sz w:val="2"/>
          <w:szCs w:val="2"/>
        </w:rPr>
        <w:sectPr w:rsidR="00B204D2">
          <w:pgSz w:w="11909" w:h="16838"/>
          <w:pgMar w:top="0" w:right="0" w:bottom="0" w:left="0" w:header="0" w:footer="3" w:gutter="0"/>
          <w:cols w:space="720"/>
          <w:noEndnote/>
          <w:docGrid w:linePitch="360"/>
        </w:sectPr>
      </w:pPr>
    </w:p>
    <w:p w:rsidR="00B204D2" w:rsidRDefault="00D66882">
      <w:pPr>
        <w:pStyle w:val="20"/>
        <w:framePr w:w="8059" w:h="405" w:hRule="exact" w:wrap="around" w:vAnchor="page" w:hAnchor="page" w:x="1922" w:y="2113"/>
        <w:shd w:val="clear" w:color="auto" w:fill="auto"/>
        <w:spacing w:after="31" w:line="170" w:lineRule="exact"/>
        <w:ind w:left="40"/>
      </w:pPr>
      <w:r>
        <w:lastRenderedPageBreak/>
        <w:t>В. Роменський</w:t>
      </w:r>
    </w:p>
    <w:p w:rsidR="00B204D2" w:rsidRDefault="00D66882">
      <w:pPr>
        <w:pStyle w:val="a5"/>
        <w:framePr w:w="8059" w:h="405" w:hRule="exact" w:wrap="around" w:vAnchor="page" w:hAnchor="page" w:x="1922" w:y="2113"/>
        <w:shd w:val="clear" w:color="auto" w:fill="auto"/>
        <w:spacing w:before="0" w:line="150" w:lineRule="exact"/>
        <w:ind w:left="40"/>
      </w:pPr>
      <w:r>
        <w:t>Реформування системи корпоративних ...</w:t>
      </w:r>
    </w:p>
    <w:p w:rsidR="00B204D2" w:rsidRDefault="00D66882">
      <w:pPr>
        <w:pStyle w:val="a7"/>
        <w:framePr w:w="7997" w:h="11137" w:hRule="exact" w:wrap="around" w:vAnchor="page" w:hAnchor="page" w:x="1960" w:y="2780"/>
        <w:shd w:val="clear" w:color="auto" w:fill="auto"/>
        <w:spacing w:before="0"/>
        <w:ind w:left="20" w:right="20"/>
      </w:pPr>
      <w:r>
        <w:t>було надати річну інформацію до НКЦПФР, лише 75% емітентів здійснили відкрите (публічне) розміщення цінних паперів, виконавши цю норму законодавства.</w:t>
      </w:r>
    </w:p>
    <w:p w:rsidR="00B204D2" w:rsidRDefault="00D66882">
      <w:pPr>
        <w:pStyle w:val="a7"/>
        <w:framePr w:w="7997" w:h="11137" w:hRule="exact" w:wrap="around" w:vAnchor="page" w:hAnchor="page" w:x="1960" w:y="2780"/>
        <w:shd w:val="clear" w:color="auto" w:fill="auto"/>
        <w:spacing w:before="0"/>
        <w:ind w:left="20" w:right="20" w:firstLine="280"/>
      </w:pPr>
      <w:r>
        <w:t xml:space="preserve">На жаль, не змогли </w:t>
      </w:r>
      <w:r>
        <w:t>своєчасно відреагувати на зміну законодавства у сфері корпоративних відносин також державні органи, перш за все НКЦПФР. Зокрема, на сьогоднішній день акціонерні товариства, які вирішили здійснити додатковий випуск акцій з метою поповнення статутного капіта</w:t>
      </w:r>
      <w:r>
        <w:t>лу, змушені керуватися не приведеними у відповідність з новими законодавчими актами нормативними документами ДКЦПФР про порядок реєстрації випуску акцій. Незважаючи на те, що в ці документи внесено деякі зміни, не можна стверджувати, що вони приведені до н</w:t>
      </w:r>
      <w:r>
        <w:t>орм закону України «Про акціонерні товариства». Наші дослідження показують, що в нормативні документи вносяться зміни, які багато в чому мають «косметичний характер». Так, наприклад, Рішенням НКЦПФР «Про внесення змін додеяких нормативно-правових актів Дер</w:t>
      </w:r>
      <w:r>
        <w:t xml:space="preserve">жавної комісіїз цінних паперів та фондового ринку (щодо статутного капіталу)» № 33 від 12.01.2012 р. передбачено внесення змін до раніше прийнятих ДКЦПФР документів, які, по суті, зводяться до заміни поняття «статутний фонд» на поняття «статутний капітал» </w:t>
      </w:r>
      <w:r>
        <w:t>при збереженні багатьох інших положень, які прямо суперечать вимогам нового Закону. Результатом такого ставлення державного органу до правового поля, в якому діють емітенти, є неоднозначність, невизначеність у застосуванні деяких норм законодавства і, якна</w:t>
      </w:r>
      <w:r>
        <w:t>слідок, управління цим процесом з боку НКЦПФР в «ручному режимі», що створює, у тому числі, можливості для появи різного роду корупційних схем. Усвідомлюючи наявність проблеми в даній сфері, НКЦПФР замість внесення відповідних змін до нормативних документі</w:t>
      </w:r>
      <w:r>
        <w:t>в, перевела у 2012 році реєстрацію всіх випусків акцій на рівень центрального апарату. Тим самим НКЦПФР порушила своє ж, зареєстроване в Мін’юсті України, рішення про передачу ряду повноважень до територіальних управлінь (рішення ДКЦПФР «Про делегування по</w:t>
      </w:r>
      <w:r>
        <w:t>вноважень з реєстрації випусків акцій, проспектів емісії акцій, змін до проспектів емісії акцій, звітів про результати розміщення акцій, реєстрації випусків облігацій підприємств, звітів про результати розміщення облігацій, скасування реєстрації випусків а</w:t>
      </w:r>
      <w:r>
        <w:t>кцій та облігацій підприємств територіальним управлінням Державної комісіїз цінних паперів та фондового ринку» від 19 липня 2007 року № 1611 зі змінами. Результат такого підходу проявився доволі швидко: за перші шість місяців 2012 року НКЦПФР було зареєстр</w:t>
      </w:r>
      <w:r>
        <w:t>овано 120 випусків акцій, загальний обсяг яких склав 13,47 млрд. грн. Порівняно з аналогічним періодом 2011 року обсяг зареєстрованих випусків зменшився на 21,95 млрд. грн., тобто відбувається падання обсягів емісії акцій майже на 62%. Всього ж у 2011 році</w:t>
      </w:r>
      <w:r>
        <w:t xml:space="preserve"> було зареєстровано 558 випусків акцій на загальну суму 57,79 млрд. грн. [4]. Якбачимо, можна проголошувати гасла про необхідність стимулювання інвестицій у вітчизняну економіку, а на практиці все звести до суворо контрольованого з єдиного центру процесу з</w:t>
      </w:r>
      <w:r>
        <w:t>а допомогою сумнівних, з точки зору законодавства, рішень.</w:t>
      </w:r>
    </w:p>
    <w:p w:rsidR="00B204D2" w:rsidRDefault="00D66882">
      <w:pPr>
        <w:pStyle w:val="a7"/>
        <w:framePr w:w="7997" w:h="11137" w:hRule="exact" w:wrap="around" w:vAnchor="page" w:hAnchor="page" w:x="1960" w:y="2780"/>
        <w:shd w:val="clear" w:color="auto" w:fill="auto"/>
        <w:spacing w:before="0"/>
        <w:ind w:left="20" w:right="20" w:firstLine="280"/>
      </w:pPr>
      <w:r>
        <w:t>Отже, реформування системи корпоративних відносин на сьогоднішньому етапі їх розвитку потребує прийняття інноваційних рішень, перш за все, у галузі господарського права. Необхідно розробити та прий</w:t>
      </w:r>
      <w:r>
        <w:t>няти нове законодавство про господарські товариства,</w:t>
      </w:r>
    </w:p>
    <w:p w:rsidR="00B204D2" w:rsidRDefault="00D66882">
      <w:pPr>
        <w:pStyle w:val="a5"/>
        <w:framePr w:wrap="around" w:vAnchor="page" w:hAnchor="page" w:x="1951" w:y="14504"/>
        <w:shd w:val="clear" w:color="auto" w:fill="auto"/>
        <w:spacing w:before="0" w:line="150" w:lineRule="exact"/>
        <w:ind w:left="20"/>
      </w:pPr>
      <w:r>
        <w:t>116</w:t>
      </w:r>
    </w:p>
    <w:p w:rsidR="00B204D2" w:rsidRDefault="00D66882">
      <w:pPr>
        <w:pStyle w:val="a5"/>
        <w:framePr w:wrap="around" w:vAnchor="page" w:hAnchor="page" w:x="7000" w:y="14504"/>
        <w:shd w:val="clear" w:color="auto" w:fill="auto"/>
        <w:spacing w:before="0" w:line="150" w:lineRule="exact"/>
        <w:ind w:left="20"/>
      </w:pPr>
      <w:r>
        <w:t>Управлінські інновації 3/2013 р.</w:t>
      </w:r>
    </w:p>
    <w:p w:rsidR="00B204D2" w:rsidRDefault="00B204D2">
      <w:pPr>
        <w:rPr>
          <w:sz w:val="2"/>
          <w:szCs w:val="2"/>
        </w:rPr>
        <w:sectPr w:rsidR="00B204D2">
          <w:pgSz w:w="11909" w:h="16838"/>
          <w:pgMar w:top="0" w:right="0" w:bottom="0" w:left="0" w:header="0" w:footer="3" w:gutter="0"/>
          <w:cols w:space="720"/>
          <w:noEndnote/>
          <w:docGrid w:linePitch="360"/>
        </w:sectPr>
      </w:pPr>
    </w:p>
    <w:p w:rsidR="00B204D2" w:rsidRDefault="00D66882">
      <w:pPr>
        <w:pStyle w:val="a5"/>
        <w:framePr w:wrap="around" w:vAnchor="page" w:hAnchor="page" w:x="4588" w:y="2291"/>
        <w:shd w:val="clear" w:color="auto" w:fill="auto"/>
        <w:spacing w:before="0" w:line="150" w:lineRule="exact"/>
        <w:ind w:left="20"/>
      </w:pPr>
      <w:r>
        <w:lastRenderedPageBreak/>
        <w:t>Впровадження управлінських інновацій на підприємствах</w:t>
      </w:r>
    </w:p>
    <w:p w:rsidR="00B204D2" w:rsidRDefault="00D66882">
      <w:pPr>
        <w:pStyle w:val="a7"/>
        <w:framePr w:w="8002" w:h="6572" w:hRule="exact" w:wrap="around" w:vAnchor="page" w:hAnchor="page" w:x="1958" w:y="2725"/>
        <w:shd w:val="clear" w:color="auto" w:fill="auto"/>
        <w:spacing w:before="0" w:after="323"/>
        <w:ind w:left="20" w:right="20"/>
      </w:pPr>
      <w:r>
        <w:t xml:space="preserve">оскільки останніх ставатиме все більше за рахунок поповнення їхніх рядів, у тому числі й </w:t>
      </w:r>
      <w:r>
        <w:t>шляхом трансформації проблемних акціонерних товариств. З табл. 1 видно, що число суб’єктів такої організаційно-правової форми, як товариство з обмеженою відповідаль</w:t>
      </w:r>
      <w:r>
        <w:softHyphen/>
        <w:t>ністю, за останні два роки значно зросло, а це сотні тисяч, а може й мільйони, учасників. Н</w:t>
      </w:r>
      <w:r>
        <w:t>еврегульовані з точки зору законодавства (або врегульовані невдало) корпоративні відносини у цій сфері господарювання створюють потенційні конфлікти в недалекому майбутньому. Крім того, необхідно удосконалювати законодавство про акціонерні товариства у час</w:t>
      </w:r>
      <w:r>
        <w:t>тині змін, пов’язаних із спрощенням процедури перетворення акціонерних товариств в інші господарські товариства, а нормативні документи НКЦПФР терміново привести у відповідність з вимогами чинного законодавства.</w:t>
      </w:r>
    </w:p>
    <w:p w:rsidR="00B204D2" w:rsidRDefault="00D66882">
      <w:pPr>
        <w:pStyle w:val="24"/>
        <w:framePr w:w="8002" w:h="6572" w:hRule="exact" w:wrap="around" w:vAnchor="page" w:hAnchor="page" w:x="1958" w:y="2725"/>
        <w:shd w:val="clear" w:color="auto" w:fill="auto"/>
        <w:spacing w:before="0" w:after="136" w:line="170" w:lineRule="exact"/>
        <w:ind w:left="20"/>
      </w:pPr>
      <w:bookmarkStart w:id="1" w:name="bookmark1"/>
      <w:r>
        <w:t>Література</w:t>
      </w:r>
      <w:bookmarkEnd w:id="1"/>
    </w:p>
    <w:p w:rsidR="00B204D2" w:rsidRDefault="00D66882">
      <w:pPr>
        <w:pStyle w:val="30"/>
        <w:framePr w:w="8002" w:h="6572" w:hRule="exact" w:wrap="around" w:vAnchor="page" w:hAnchor="page" w:x="1958" w:y="2725"/>
        <w:numPr>
          <w:ilvl w:val="0"/>
          <w:numId w:val="1"/>
        </w:numPr>
        <w:shd w:val="clear" w:color="auto" w:fill="auto"/>
        <w:tabs>
          <w:tab w:val="left" w:pos="685"/>
        </w:tabs>
        <w:spacing w:line="274" w:lineRule="exact"/>
        <w:ind w:left="720" w:right="20"/>
      </w:pPr>
      <w:r>
        <w:t>Україна у цифрах у 2011 році: ста</w:t>
      </w:r>
      <w:r>
        <w:t>т. зб. / за ред. 0. Г. Осауленко. - К.: Держ. служба статистики України, 2012. - 250 с.</w:t>
      </w:r>
    </w:p>
    <w:p w:rsidR="00B204D2" w:rsidRDefault="00D66882">
      <w:pPr>
        <w:pStyle w:val="30"/>
        <w:framePr w:w="8002" w:h="6572" w:hRule="exact" w:wrap="around" w:vAnchor="page" w:hAnchor="page" w:x="1958" w:y="2725"/>
        <w:numPr>
          <w:ilvl w:val="0"/>
          <w:numId w:val="1"/>
        </w:numPr>
        <w:shd w:val="clear" w:color="auto" w:fill="auto"/>
        <w:spacing w:line="274" w:lineRule="exact"/>
        <w:ind w:left="720" w:right="20"/>
      </w:pPr>
      <w:r>
        <w:t xml:space="preserve"> Звіт Державної комісії з цінних паперів та фондового ринку за 2000 рік [Електронний ресурс]. - Режим доступу: </w:t>
      </w:r>
      <w:hyperlink r:id="rId7" w:history="1">
        <w:r>
          <w:rPr>
            <w:rStyle w:val="a3"/>
            <w:lang w:val="en-US" w:eastAsia="en-US" w:bidi="en-US"/>
          </w:rPr>
          <w:t>http</w:t>
        </w:r>
        <w:r w:rsidRPr="00BA352D">
          <w:rPr>
            <w:rStyle w:val="a3"/>
            <w:lang w:eastAsia="en-US" w:bidi="en-US"/>
          </w:rPr>
          <w:t>://</w:t>
        </w:r>
        <w:r>
          <w:rPr>
            <w:rStyle w:val="a3"/>
            <w:lang w:val="en-US" w:eastAsia="en-US" w:bidi="en-US"/>
          </w:rPr>
          <w:t>www</w:t>
        </w:r>
        <w:r w:rsidRPr="00BA352D">
          <w:rPr>
            <w:rStyle w:val="a3"/>
            <w:lang w:eastAsia="en-US" w:bidi="en-US"/>
          </w:rPr>
          <w:t>.</w:t>
        </w:r>
        <w:r>
          <w:rPr>
            <w:rStyle w:val="a3"/>
            <w:lang w:val="en-US" w:eastAsia="en-US" w:bidi="en-US"/>
          </w:rPr>
          <w:t>nssmc</w:t>
        </w:r>
        <w:r w:rsidRPr="00BA352D">
          <w:rPr>
            <w:rStyle w:val="a3"/>
            <w:lang w:eastAsia="en-US" w:bidi="en-US"/>
          </w:rPr>
          <w:t>.</w:t>
        </w:r>
        <w:r>
          <w:rPr>
            <w:rStyle w:val="a3"/>
            <w:lang w:val="en-US" w:eastAsia="en-US" w:bidi="en-US"/>
          </w:rPr>
          <w:t>gov</w:t>
        </w:r>
      </w:hyperlink>
      <w:r w:rsidRPr="00BA352D">
        <w:rPr>
          <w:lang w:eastAsia="en-US" w:bidi="en-US"/>
        </w:rPr>
        <w:t xml:space="preserve">. </w:t>
      </w:r>
      <w:r>
        <w:rPr>
          <w:lang w:val="en-US" w:eastAsia="en-US" w:bidi="en-US"/>
        </w:rPr>
        <w:t>ua</w:t>
      </w:r>
      <w:r w:rsidRPr="00BA352D">
        <w:rPr>
          <w:lang w:eastAsia="en-US" w:bidi="en-US"/>
        </w:rPr>
        <w:t>/</w:t>
      </w:r>
      <w:r>
        <w:rPr>
          <w:lang w:val="en-US" w:eastAsia="en-US" w:bidi="en-US"/>
        </w:rPr>
        <w:t>activities</w:t>
      </w:r>
      <w:r w:rsidRPr="00BA352D">
        <w:rPr>
          <w:lang w:eastAsia="en-US" w:bidi="en-US"/>
        </w:rPr>
        <w:t xml:space="preserve"> /</w:t>
      </w:r>
      <w:r>
        <w:rPr>
          <w:lang w:val="en-US" w:eastAsia="en-US" w:bidi="en-US"/>
        </w:rPr>
        <w:t>annual</w:t>
      </w:r>
      <w:r w:rsidRPr="00BA352D">
        <w:rPr>
          <w:lang w:eastAsia="en-US" w:bidi="en-US"/>
        </w:rPr>
        <w:t>.</w:t>
      </w:r>
    </w:p>
    <w:p w:rsidR="00B204D2" w:rsidRDefault="00D66882">
      <w:pPr>
        <w:pStyle w:val="30"/>
        <w:framePr w:w="8002" w:h="6572" w:hRule="exact" w:wrap="around" w:vAnchor="page" w:hAnchor="page" w:x="1958" w:y="2725"/>
        <w:numPr>
          <w:ilvl w:val="0"/>
          <w:numId w:val="1"/>
        </w:numPr>
        <w:shd w:val="clear" w:color="auto" w:fill="auto"/>
        <w:spacing w:line="274" w:lineRule="exact"/>
        <w:ind w:left="720" w:right="20"/>
      </w:pPr>
      <w:r>
        <w:t xml:space="preserve"> Український фондовий ринок - 2011: впевненість, стійкість та зростання [Електронний ресурс] / К. : Нац. комісія з цінних паперів та фондового ринку, 2012. - Режим доступу: </w:t>
      </w:r>
      <w:hyperlink r:id="rId8" w:history="1">
        <w:r>
          <w:rPr>
            <w:rStyle w:val="a3"/>
            <w:lang w:val="en-US" w:eastAsia="en-US" w:bidi="en-US"/>
          </w:rPr>
          <w:t>http</w:t>
        </w:r>
        <w:r w:rsidRPr="00BA352D">
          <w:rPr>
            <w:rStyle w:val="a3"/>
            <w:lang w:eastAsia="en-US" w:bidi="en-US"/>
          </w:rPr>
          <w:t>://</w:t>
        </w:r>
        <w:r>
          <w:rPr>
            <w:rStyle w:val="a3"/>
            <w:lang w:val="en-US" w:eastAsia="en-US" w:bidi="en-US"/>
          </w:rPr>
          <w:t>www</w:t>
        </w:r>
        <w:r w:rsidRPr="00BA352D">
          <w:rPr>
            <w:rStyle w:val="a3"/>
            <w:lang w:eastAsia="en-US" w:bidi="en-US"/>
          </w:rPr>
          <w:t>.</w:t>
        </w:r>
        <w:r>
          <w:rPr>
            <w:rStyle w:val="a3"/>
            <w:lang w:val="en-US" w:eastAsia="en-US" w:bidi="en-US"/>
          </w:rPr>
          <w:t>nssmc</w:t>
        </w:r>
        <w:r w:rsidRPr="00BA352D">
          <w:rPr>
            <w:rStyle w:val="a3"/>
            <w:lang w:eastAsia="en-US" w:bidi="en-US"/>
          </w:rPr>
          <w:t>.</w:t>
        </w:r>
        <w:r>
          <w:rPr>
            <w:rStyle w:val="a3"/>
            <w:lang w:val="en-US" w:eastAsia="en-US" w:bidi="en-US"/>
          </w:rPr>
          <w:t>gov</w:t>
        </w:r>
      </w:hyperlink>
      <w:r w:rsidRPr="00BA352D">
        <w:rPr>
          <w:lang w:eastAsia="en-US" w:bidi="en-US"/>
        </w:rPr>
        <w:t xml:space="preserve">. </w:t>
      </w:r>
      <w:r>
        <w:rPr>
          <w:lang w:val="en-US" w:eastAsia="en-US" w:bidi="en-US"/>
        </w:rPr>
        <w:t>ua</w:t>
      </w:r>
      <w:r w:rsidRPr="00BA352D">
        <w:rPr>
          <w:lang w:eastAsia="en-US" w:bidi="en-US"/>
        </w:rPr>
        <w:t>/</w:t>
      </w:r>
      <w:r>
        <w:rPr>
          <w:lang w:val="en-US" w:eastAsia="en-US" w:bidi="en-US"/>
        </w:rPr>
        <w:t>activities</w:t>
      </w:r>
      <w:r w:rsidRPr="00BA352D">
        <w:rPr>
          <w:lang w:eastAsia="en-US" w:bidi="en-US"/>
        </w:rPr>
        <w:t>/</w:t>
      </w:r>
      <w:r>
        <w:rPr>
          <w:lang w:val="en-US" w:eastAsia="en-US" w:bidi="en-US"/>
        </w:rPr>
        <w:t>annual</w:t>
      </w:r>
      <w:r w:rsidRPr="00BA352D">
        <w:rPr>
          <w:lang w:eastAsia="en-US" w:bidi="en-US"/>
        </w:rPr>
        <w:t>.</w:t>
      </w:r>
    </w:p>
    <w:p w:rsidR="00B204D2" w:rsidRDefault="00D66882">
      <w:pPr>
        <w:pStyle w:val="30"/>
        <w:framePr w:w="8002" w:h="6572" w:hRule="exact" w:wrap="around" w:vAnchor="page" w:hAnchor="page" w:x="1958" w:y="2725"/>
        <w:numPr>
          <w:ilvl w:val="0"/>
          <w:numId w:val="1"/>
        </w:numPr>
        <w:shd w:val="clear" w:color="auto" w:fill="auto"/>
        <w:spacing w:line="274" w:lineRule="exact"/>
        <w:ind w:left="720" w:right="20"/>
      </w:pPr>
      <w:r>
        <w:t xml:space="preserve"> Інформаційна довідка щодо розвитку фондового ринку України протягом січня-червня 2012 року [Електронний ресурс]. - Режим доступу : </w:t>
      </w:r>
      <w:r>
        <w:rPr>
          <w:lang w:val="en-US" w:eastAsia="en-US" w:bidi="en-US"/>
        </w:rPr>
        <w:t>http</w:t>
      </w:r>
      <w:r w:rsidRPr="00BA352D">
        <w:rPr>
          <w:lang w:val="ru-RU" w:eastAsia="en-US" w:bidi="en-US"/>
        </w:rPr>
        <w:t xml:space="preserve">:// </w:t>
      </w:r>
      <w:hyperlink r:id="rId9" w:history="1">
        <w:r>
          <w:rPr>
            <w:rStyle w:val="a3"/>
            <w:lang w:val="en-US" w:eastAsia="en-US" w:bidi="en-US"/>
          </w:rPr>
          <w:t>www</w:t>
        </w:r>
        <w:r w:rsidRPr="00BA352D">
          <w:rPr>
            <w:rStyle w:val="a3"/>
            <w:lang w:val="ru-RU" w:eastAsia="en-US" w:bidi="en-US"/>
          </w:rPr>
          <w:t>.</w:t>
        </w:r>
        <w:r>
          <w:rPr>
            <w:rStyle w:val="a3"/>
            <w:lang w:val="en-US" w:eastAsia="en-US" w:bidi="en-US"/>
          </w:rPr>
          <w:t>nssmc</w:t>
        </w:r>
        <w:r w:rsidRPr="00BA352D">
          <w:rPr>
            <w:rStyle w:val="a3"/>
            <w:lang w:val="ru-RU" w:eastAsia="en-US" w:bidi="en-US"/>
          </w:rPr>
          <w:t>.</w:t>
        </w:r>
        <w:r>
          <w:rPr>
            <w:rStyle w:val="a3"/>
            <w:lang w:val="en-US" w:eastAsia="en-US" w:bidi="en-US"/>
          </w:rPr>
          <w:t>gov</w:t>
        </w:r>
        <w:r w:rsidRPr="00BA352D">
          <w:rPr>
            <w:rStyle w:val="a3"/>
            <w:lang w:val="ru-RU" w:eastAsia="en-US" w:bidi="en-US"/>
          </w:rPr>
          <w:t>.</w:t>
        </w:r>
        <w:r>
          <w:rPr>
            <w:rStyle w:val="a3"/>
            <w:lang w:val="en-US" w:eastAsia="en-US" w:bidi="en-US"/>
          </w:rPr>
          <w:t>ua</w:t>
        </w:r>
        <w:r w:rsidRPr="00BA352D">
          <w:rPr>
            <w:rStyle w:val="a3"/>
            <w:lang w:val="ru-RU" w:eastAsia="en-US" w:bidi="en-US"/>
          </w:rPr>
          <w:t>/</w:t>
        </w:r>
        <w:r>
          <w:rPr>
            <w:rStyle w:val="a3"/>
            <w:lang w:val="en-US" w:eastAsia="en-US" w:bidi="en-US"/>
          </w:rPr>
          <w:t>user</w:t>
        </w:r>
        <w:r w:rsidRPr="00BA352D">
          <w:rPr>
            <w:rStyle w:val="a3"/>
            <w:lang w:val="ru-RU" w:eastAsia="en-US" w:bidi="en-US"/>
          </w:rPr>
          <w:t>_</w:t>
        </w:r>
        <w:r>
          <w:rPr>
            <w:rStyle w:val="a3"/>
            <w:lang w:val="en-US" w:eastAsia="en-US" w:bidi="en-US"/>
          </w:rPr>
          <w:t>fil</w:t>
        </w:r>
        <w:r>
          <w:rPr>
            <w:rStyle w:val="a3"/>
            <w:lang w:val="en-US" w:eastAsia="en-US" w:bidi="en-US"/>
          </w:rPr>
          <w:t>es</w:t>
        </w:r>
        <w:r w:rsidRPr="00BA352D">
          <w:rPr>
            <w:rStyle w:val="a3"/>
            <w:lang w:val="ru-RU" w:eastAsia="en-US" w:bidi="en-US"/>
          </w:rPr>
          <w:t>/</w:t>
        </w:r>
        <w:r>
          <w:rPr>
            <w:rStyle w:val="a3"/>
            <w:lang w:val="en-US" w:eastAsia="en-US" w:bidi="en-US"/>
          </w:rPr>
          <w:t>content</w:t>
        </w:r>
        <w:r w:rsidRPr="00BA352D">
          <w:rPr>
            <w:rStyle w:val="a3"/>
            <w:lang w:val="ru-RU" w:eastAsia="en-US" w:bidi="en-US"/>
          </w:rPr>
          <w:t>/62/1343294748.</w:t>
        </w:r>
        <w:r>
          <w:rPr>
            <w:rStyle w:val="a3"/>
            <w:lang w:val="en-US" w:eastAsia="en-US" w:bidi="en-US"/>
          </w:rPr>
          <w:t>pdf</w:t>
        </w:r>
      </w:hyperlink>
      <w:r w:rsidRPr="00BA352D">
        <w:rPr>
          <w:lang w:val="ru-RU" w:eastAsia="en-US" w:bidi="en-US"/>
        </w:rPr>
        <w:t>.</w:t>
      </w:r>
    </w:p>
    <w:p w:rsidR="00B204D2" w:rsidRDefault="00D66882">
      <w:pPr>
        <w:pStyle w:val="a5"/>
        <w:framePr w:wrap="around" w:vAnchor="page" w:hAnchor="page" w:x="1929" w:y="14483"/>
        <w:shd w:val="clear" w:color="auto" w:fill="auto"/>
        <w:spacing w:before="0" w:line="150" w:lineRule="exact"/>
        <w:ind w:left="20"/>
      </w:pPr>
      <w:r>
        <w:t>Управлінські інновації 3/2013 р.</w:t>
      </w:r>
    </w:p>
    <w:p w:rsidR="00B204D2" w:rsidRDefault="00D66882">
      <w:pPr>
        <w:pStyle w:val="a5"/>
        <w:framePr w:wrap="around" w:vAnchor="page" w:hAnchor="page" w:x="9662" w:y="14483"/>
        <w:shd w:val="clear" w:color="auto" w:fill="auto"/>
        <w:spacing w:before="0" w:line="150" w:lineRule="exact"/>
        <w:ind w:left="20"/>
      </w:pPr>
      <w:r>
        <w:t>117</w:t>
      </w:r>
    </w:p>
    <w:p w:rsidR="00B204D2" w:rsidRDefault="00B204D2">
      <w:pPr>
        <w:rPr>
          <w:sz w:val="2"/>
          <w:szCs w:val="2"/>
        </w:rPr>
      </w:pPr>
    </w:p>
    <w:sectPr w:rsidR="00B204D2" w:rsidSect="00B204D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882" w:rsidRDefault="00D66882" w:rsidP="00B204D2">
      <w:r>
        <w:separator/>
      </w:r>
    </w:p>
  </w:endnote>
  <w:endnote w:type="continuationSeparator" w:id="1">
    <w:p w:rsidR="00D66882" w:rsidRDefault="00D66882" w:rsidP="00B204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882" w:rsidRDefault="00D66882"/>
  </w:footnote>
  <w:footnote w:type="continuationSeparator" w:id="1">
    <w:p w:rsidR="00D66882" w:rsidRDefault="00D6688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184E"/>
    <w:multiLevelType w:val="multilevel"/>
    <w:tmpl w:val="6096B130"/>
    <w:lvl w:ilvl="0">
      <w:start w:val="1"/>
      <w:numFmt w:val="decimal"/>
      <w:lvlText w:val="%1."/>
      <w:lvlJc w:val="left"/>
      <w:rPr>
        <w:rFonts w:ascii="Arial" w:eastAsia="Arial" w:hAnsi="Arial" w:cs="Arial"/>
        <w:b w:val="0"/>
        <w:bCs w:val="0"/>
        <w:i/>
        <w:iCs/>
        <w:smallCaps w:val="0"/>
        <w:strike w:val="0"/>
        <w:color w:val="000000"/>
        <w:spacing w:val="1"/>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204D2"/>
    <w:rsid w:val="00B204D2"/>
    <w:rsid w:val="00BA352D"/>
    <w:rsid w:val="00D668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04D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04D2"/>
    <w:rPr>
      <w:color w:val="0066CC"/>
      <w:u w:val="single"/>
    </w:rPr>
  </w:style>
  <w:style w:type="character" w:customStyle="1" w:styleId="2">
    <w:name w:val="Колонтитул (2)_"/>
    <w:basedOn w:val="a0"/>
    <w:link w:val="20"/>
    <w:rsid w:val="00B204D2"/>
    <w:rPr>
      <w:rFonts w:ascii="Sylfaen" w:eastAsia="Sylfaen" w:hAnsi="Sylfaen" w:cs="Sylfaen"/>
      <w:b w:val="0"/>
      <w:bCs w:val="0"/>
      <w:i w:val="0"/>
      <w:iCs w:val="0"/>
      <w:smallCaps w:val="0"/>
      <w:strike w:val="0"/>
      <w:spacing w:val="1"/>
      <w:sz w:val="17"/>
      <w:szCs w:val="17"/>
      <w:u w:val="none"/>
    </w:rPr>
  </w:style>
  <w:style w:type="character" w:customStyle="1" w:styleId="a4">
    <w:name w:val="Колонтитул_"/>
    <w:basedOn w:val="a0"/>
    <w:link w:val="a5"/>
    <w:rsid w:val="00B204D2"/>
    <w:rPr>
      <w:rFonts w:ascii="Arial" w:eastAsia="Arial" w:hAnsi="Arial" w:cs="Arial"/>
      <w:b/>
      <w:bCs/>
      <w:i w:val="0"/>
      <w:iCs w:val="0"/>
      <w:smallCaps w:val="0"/>
      <w:strike w:val="0"/>
      <w:spacing w:val="1"/>
      <w:sz w:val="15"/>
      <w:szCs w:val="15"/>
      <w:u w:val="none"/>
    </w:rPr>
  </w:style>
  <w:style w:type="character" w:customStyle="1" w:styleId="21">
    <w:name w:val="Основний текст (2)_"/>
    <w:basedOn w:val="a0"/>
    <w:link w:val="22"/>
    <w:rsid w:val="00B204D2"/>
    <w:rPr>
      <w:rFonts w:ascii="Arial" w:eastAsia="Arial" w:hAnsi="Arial" w:cs="Arial"/>
      <w:b/>
      <w:bCs/>
      <w:i w:val="0"/>
      <w:iCs w:val="0"/>
      <w:smallCaps w:val="0"/>
      <w:strike w:val="0"/>
      <w:spacing w:val="-3"/>
      <w:sz w:val="19"/>
      <w:szCs w:val="19"/>
      <w:u w:val="none"/>
    </w:rPr>
  </w:style>
  <w:style w:type="character" w:customStyle="1" w:styleId="1">
    <w:name w:val="Заголовок №1_"/>
    <w:basedOn w:val="a0"/>
    <w:link w:val="10"/>
    <w:rsid w:val="00B204D2"/>
    <w:rPr>
      <w:rFonts w:ascii="Sylfaen" w:eastAsia="Sylfaen" w:hAnsi="Sylfaen" w:cs="Sylfaen"/>
      <w:b w:val="0"/>
      <w:bCs w:val="0"/>
      <w:i w:val="0"/>
      <w:iCs w:val="0"/>
      <w:smallCaps w:val="0"/>
      <w:strike w:val="0"/>
      <w:spacing w:val="-2"/>
      <w:sz w:val="23"/>
      <w:szCs w:val="23"/>
      <w:u w:val="none"/>
    </w:rPr>
  </w:style>
  <w:style w:type="character" w:customStyle="1" w:styleId="3">
    <w:name w:val="Основний текст (3)_"/>
    <w:basedOn w:val="a0"/>
    <w:link w:val="30"/>
    <w:rsid w:val="00B204D2"/>
    <w:rPr>
      <w:rFonts w:ascii="Arial" w:eastAsia="Arial" w:hAnsi="Arial" w:cs="Arial"/>
      <w:b w:val="0"/>
      <w:bCs w:val="0"/>
      <w:i/>
      <w:iCs/>
      <w:smallCaps w:val="0"/>
      <w:strike w:val="0"/>
      <w:spacing w:val="1"/>
      <w:sz w:val="17"/>
      <w:szCs w:val="17"/>
      <w:u w:val="none"/>
    </w:rPr>
  </w:style>
  <w:style w:type="character" w:customStyle="1" w:styleId="30pt">
    <w:name w:val="Основний текст (3) + Напівжирний;Інтервал 0 pt"/>
    <w:basedOn w:val="3"/>
    <w:rsid w:val="00B204D2"/>
    <w:rPr>
      <w:b/>
      <w:bCs/>
      <w:color w:val="000000"/>
      <w:spacing w:val="-1"/>
      <w:w w:val="100"/>
      <w:position w:val="0"/>
      <w:lang w:val="uk-UA" w:eastAsia="uk-UA" w:bidi="uk-UA"/>
    </w:rPr>
  </w:style>
  <w:style w:type="character" w:customStyle="1" w:styleId="a6">
    <w:name w:val="Основний текст_"/>
    <w:basedOn w:val="a0"/>
    <w:link w:val="a7"/>
    <w:rsid w:val="00B204D2"/>
    <w:rPr>
      <w:rFonts w:ascii="Arial" w:eastAsia="Arial" w:hAnsi="Arial" w:cs="Arial"/>
      <w:b w:val="0"/>
      <w:bCs w:val="0"/>
      <w:i w:val="0"/>
      <w:iCs w:val="0"/>
      <w:smallCaps w:val="0"/>
      <w:strike w:val="0"/>
      <w:sz w:val="17"/>
      <w:szCs w:val="17"/>
      <w:u w:val="none"/>
    </w:rPr>
  </w:style>
  <w:style w:type="character" w:customStyle="1" w:styleId="4">
    <w:name w:val="Основний текст (4)_"/>
    <w:basedOn w:val="a0"/>
    <w:link w:val="40"/>
    <w:rsid w:val="00B204D2"/>
    <w:rPr>
      <w:rFonts w:ascii="Sylfaen" w:eastAsia="Sylfaen" w:hAnsi="Sylfaen" w:cs="Sylfaen"/>
      <w:b w:val="0"/>
      <w:bCs w:val="0"/>
      <w:i w:val="0"/>
      <w:iCs w:val="0"/>
      <w:smallCaps w:val="0"/>
      <w:strike w:val="0"/>
      <w:spacing w:val="4"/>
      <w:sz w:val="15"/>
      <w:szCs w:val="15"/>
      <w:u w:val="none"/>
    </w:rPr>
  </w:style>
  <w:style w:type="character" w:customStyle="1" w:styleId="5">
    <w:name w:val="Основний текст (5)_"/>
    <w:basedOn w:val="a0"/>
    <w:link w:val="50"/>
    <w:rsid w:val="00B204D2"/>
    <w:rPr>
      <w:rFonts w:ascii="Arial" w:eastAsia="Arial" w:hAnsi="Arial" w:cs="Arial"/>
      <w:b/>
      <w:bCs/>
      <w:i w:val="0"/>
      <w:iCs w:val="0"/>
      <w:smallCaps w:val="0"/>
      <w:strike w:val="0"/>
      <w:spacing w:val="2"/>
      <w:sz w:val="17"/>
      <w:szCs w:val="17"/>
      <w:u w:val="none"/>
    </w:rPr>
  </w:style>
  <w:style w:type="character" w:customStyle="1" w:styleId="75pt">
    <w:name w:val="Основний текст + 7;5 pt;Напівжирний"/>
    <w:basedOn w:val="a6"/>
    <w:rsid w:val="00B204D2"/>
    <w:rPr>
      <w:b/>
      <w:bCs/>
      <w:color w:val="000000"/>
      <w:spacing w:val="0"/>
      <w:w w:val="100"/>
      <w:position w:val="0"/>
      <w:sz w:val="15"/>
      <w:szCs w:val="15"/>
      <w:lang w:val="uk-UA" w:eastAsia="uk-UA" w:bidi="uk-UA"/>
    </w:rPr>
  </w:style>
  <w:style w:type="character" w:customStyle="1" w:styleId="75pt0pt">
    <w:name w:val="Основний текст + 7;5 pt;Напівжирний;Інтервал 0 pt"/>
    <w:basedOn w:val="a6"/>
    <w:rsid w:val="00B204D2"/>
    <w:rPr>
      <w:b/>
      <w:bCs/>
      <w:color w:val="000000"/>
      <w:spacing w:val="3"/>
      <w:w w:val="100"/>
      <w:position w:val="0"/>
      <w:sz w:val="15"/>
      <w:szCs w:val="15"/>
      <w:lang w:val="uk-UA" w:eastAsia="uk-UA" w:bidi="uk-UA"/>
    </w:rPr>
  </w:style>
  <w:style w:type="character" w:customStyle="1" w:styleId="75pt0pt0">
    <w:name w:val="Основний текст + 7;5 pt;Інтервал 0 pt"/>
    <w:basedOn w:val="a6"/>
    <w:rsid w:val="00B204D2"/>
    <w:rPr>
      <w:color w:val="000000"/>
      <w:spacing w:val="2"/>
      <w:w w:val="100"/>
      <w:position w:val="0"/>
      <w:sz w:val="15"/>
      <w:szCs w:val="15"/>
      <w:lang w:val="uk-UA" w:eastAsia="uk-UA" w:bidi="uk-UA"/>
    </w:rPr>
  </w:style>
  <w:style w:type="character" w:customStyle="1" w:styleId="a8">
    <w:name w:val="Підпис до таблиці_"/>
    <w:basedOn w:val="a0"/>
    <w:link w:val="a9"/>
    <w:rsid w:val="00B204D2"/>
    <w:rPr>
      <w:rFonts w:ascii="Arial" w:eastAsia="Arial" w:hAnsi="Arial" w:cs="Arial"/>
      <w:b w:val="0"/>
      <w:bCs w:val="0"/>
      <w:i w:val="0"/>
      <w:iCs w:val="0"/>
      <w:smallCaps w:val="0"/>
      <w:strike w:val="0"/>
      <w:spacing w:val="2"/>
      <w:sz w:val="15"/>
      <w:szCs w:val="15"/>
      <w:u w:val="none"/>
    </w:rPr>
  </w:style>
  <w:style w:type="character" w:customStyle="1" w:styleId="23">
    <w:name w:val="Заголовок №2_"/>
    <w:basedOn w:val="a0"/>
    <w:link w:val="24"/>
    <w:rsid w:val="00B204D2"/>
    <w:rPr>
      <w:rFonts w:ascii="Arial" w:eastAsia="Arial" w:hAnsi="Arial" w:cs="Arial"/>
      <w:b/>
      <w:bCs/>
      <w:i/>
      <w:iCs/>
      <w:smallCaps w:val="0"/>
      <w:strike w:val="0"/>
      <w:spacing w:val="-1"/>
      <w:sz w:val="17"/>
      <w:szCs w:val="17"/>
      <w:u w:val="none"/>
    </w:rPr>
  </w:style>
  <w:style w:type="paragraph" w:customStyle="1" w:styleId="20">
    <w:name w:val="Колонтитул (2)"/>
    <w:basedOn w:val="a"/>
    <w:link w:val="2"/>
    <w:rsid w:val="00B204D2"/>
    <w:pPr>
      <w:shd w:val="clear" w:color="auto" w:fill="FFFFFF"/>
      <w:spacing w:after="60" w:line="0" w:lineRule="atLeast"/>
    </w:pPr>
    <w:rPr>
      <w:rFonts w:ascii="Sylfaen" w:eastAsia="Sylfaen" w:hAnsi="Sylfaen" w:cs="Sylfaen"/>
      <w:spacing w:val="1"/>
      <w:sz w:val="17"/>
      <w:szCs w:val="17"/>
    </w:rPr>
  </w:style>
  <w:style w:type="paragraph" w:customStyle="1" w:styleId="a5">
    <w:name w:val="Колонтитул"/>
    <w:basedOn w:val="a"/>
    <w:link w:val="a4"/>
    <w:rsid w:val="00B204D2"/>
    <w:pPr>
      <w:shd w:val="clear" w:color="auto" w:fill="FFFFFF"/>
      <w:spacing w:before="60" w:line="0" w:lineRule="atLeast"/>
    </w:pPr>
    <w:rPr>
      <w:rFonts w:ascii="Arial" w:eastAsia="Arial" w:hAnsi="Arial" w:cs="Arial"/>
      <w:b/>
      <w:bCs/>
      <w:spacing w:val="1"/>
      <w:sz w:val="15"/>
      <w:szCs w:val="15"/>
    </w:rPr>
  </w:style>
  <w:style w:type="paragraph" w:customStyle="1" w:styleId="22">
    <w:name w:val="Основний текст (2)"/>
    <w:basedOn w:val="a"/>
    <w:link w:val="21"/>
    <w:rsid w:val="00B204D2"/>
    <w:pPr>
      <w:shd w:val="clear" w:color="auto" w:fill="FFFFFF"/>
      <w:spacing w:after="660" w:line="0" w:lineRule="atLeast"/>
      <w:jc w:val="both"/>
    </w:pPr>
    <w:rPr>
      <w:rFonts w:ascii="Arial" w:eastAsia="Arial" w:hAnsi="Arial" w:cs="Arial"/>
      <w:b/>
      <w:bCs/>
      <w:spacing w:val="-3"/>
      <w:sz w:val="19"/>
      <w:szCs w:val="19"/>
    </w:rPr>
  </w:style>
  <w:style w:type="paragraph" w:customStyle="1" w:styleId="10">
    <w:name w:val="Заголовок №1"/>
    <w:basedOn w:val="a"/>
    <w:link w:val="1"/>
    <w:rsid w:val="00B204D2"/>
    <w:pPr>
      <w:shd w:val="clear" w:color="auto" w:fill="FFFFFF"/>
      <w:spacing w:before="660" w:line="317" w:lineRule="exact"/>
      <w:jc w:val="center"/>
      <w:outlineLvl w:val="0"/>
    </w:pPr>
    <w:rPr>
      <w:rFonts w:ascii="Sylfaen" w:eastAsia="Sylfaen" w:hAnsi="Sylfaen" w:cs="Sylfaen"/>
      <w:spacing w:val="-2"/>
      <w:sz w:val="23"/>
      <w:szCs w:val="23"/>
    </w:rPr>
  </w:style>
  <w:style w:type="paragraph" w:customStyle="1" w:styleId="30">
    <w:name w:val="Основний текст (3)"/>
    <w:basedOn w:val="a"/>
    <w:link w:val="3"/>
    <w:rsid w:val="00B204D2"/>
    <w:pPr>
      <w:shd w:val="clear" w:color="auto" w:fill="FFFFFF"/>
      <w:spacing w:line="240" w:lineRule="exact"/>
      <w:ind w:hanging="400"/>
      <w:jc w:val="both"/>
    </w:pPr>
    <w:rPr>
      <w:rFonts w:ascii="Arial" w:eastAsia="Arial" w:hAnsi="Arial" w:cs="Arial"/>
      <w:i/>
      <w:iCs/>
      <w:spacing w:val="1"/>
      <w:sz w:val="17"/>
      <w:szCs w:val="17"/>
    </w:rPr>
  </w:style>
  <w:style w:type="paragraph" w:customStyle="1" w:styleId="a7">
    <w:name w:val="Основний текст"/>
    <w:basedOn w:val="a"/>
    <w:link w:val="a6"/>
    <w:rsid w:val="00B204D2"/>
    <w:pPr>
      <w:shd w:val="clear" w:color="auto" w:fill="FFFFFF"/>
      <w:spacing w:before="540" w:line="274" w:lineRule="exact"/>
      <w:jc w:val="both"/>
    </w:pPr>
    <w:rPr>
      <w:rFonts w:ascii="Arial" w:eastAsia="Arial" w:hAnsi="Arial" w:cs="Arial"/>
      <w:sz w:val="17"/>
      <w:szCs w:val="17"/>
    </w:rPr>
  </w:style>
  <w:style w:type="paragraph" w:customStyle="1" w:styleId="40">
    <w:name w:val="Основний текст (4)"/>
    <w:basedOn w:val="a"/>
    <w:link w:val="4"/>
    <w:rsid w:val="00B204D2"/>
    <w:pPr>
      <w:shd w:val="clear" w:color="auto" w:fill="FFFFFF"/>
      <w:spacing w:before="120" w:line="0" w:lineRule="atLeast"/>
    </w:pPr>
    <w:rPr>
      <w:rFonts w:ascii="Sylfaen" w:eastAsia="Sylfaen" w:hAnsi="Sylfaen" w:cs="Sylfaen"/>
      <w:spacing w:val="4"/>
      <w:sz w:val="15"/>
      <w:szCs w:val="15"/>
    </w:rPr>
  </w:style>
  <w:style w:type="paragraph" w:customStyle="1" w:styleId="50">
    <w:name w:val="Основний текст (5)"/>
    <w:basedOn w:val="a"/>
    <w:link w:val="5"/>
    <w:rsid w:val="00B204D2"/>
    <w:pPr>
      <w:shd w:val="clear" w:color="auto" w:fill="FFFFFF"/>
      <w:spacing w:before="60" w:after="300" w:line="269" w:lineRule="exact"/>
      <w:jc w:val="center"/>
    </w:pPr>
    <w:rPr>
      <w:rFonts w:ascii="Arial" w:eastAsia="Arial" w:hAnsi="Arial" w:cs="Arial"/>
      <w:b/>
      <w:bCs/>
      <w:spacing w:val="2"/>
      <w:sz w:val="17"/>
      <w:szCs w:val="17"/>
    </w:rPr>
  </w:style>
  <w:style w:type="paragraph" w:customStyle="1" w:styleId="a9">
    <w:name w:val="Підпис до таблиці"/>
    <w:basedOn w:val="a"/>
    <w:link w:val="a8"/>
    <w:rsid w:val="00B204D2"/>
    <w:pPr>
      <w:shd w:val="clear" w:color="auto" w:fill="FFFFFF"/>
      <w:spacing w:line="0" w:lineRule="atLeast"/>
    </w:pPr>
    <w:rPr>
      <w:rFonts w:ascii="Arial" w:eastAsia="Arial" w:hAnsi="Arial" w:cs="Arial"/>
      <w:spacing w:val="2"/>
      <w:sz w:val="15"/>
      <w:szCs w:val="15"/>
    </w:rPr>
  </w:style>
  <w:style w:type="paragraph" w:customStyle="1" w:styleId="24">
    <w:name w:val="Заголовок №2"/>
    <w:basedOn w:val="a"/>
    <w:link w:val="23"/>
    <w:rsid w:val="00B204D2"/>
    <w:pPr>
      <w:shd w:val="clear" w:color="auto" w:fill="FFFFFF"/>
      <w:spacing w:before="240" w:after="240" w:line="0" w:lineRule="atLeast"/>
      <w:jc w:val="center"/>
      <w:outlineLvl w:val="1"/>
    </w:pPr>
    <w:rPr>
      <w:rFonts w:ascii="Arial" w:eastAsia="Arial" w:hAnsi="Arial" w:cs="Arial"/>
      <w:b/>
      <w:bCs/>
      <w:i/>
      <w:iCs/>
      <w:spacing w:val="-1"/>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ssmc.gov" TargetMode="External"/><Relationship Id="rId3" Type="http://schemas.openxmlformats.org/officeDocument/2006/relationships/settings" Target="settings.xml"/><Relationship Id="rId7" Type="http://schemas.openxmlformats.org/officeDocument/2006/relationships/hyperlink" Target="http://www.nssm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smc.gov.ua/user_files/content/62/134329474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19124</Words>
  <Characters>10902</Characters>
  <Application>Microsoft Office Word</Application>
  <DocSecurity>0</DocSecurity>
  <Lines>90</Lines>
  <Paragraphs>59</Paragraphs>
  <ScaleCrop>false</ScaleCrop>
  <Company>Microsoft</Company>
  <LinksUpToDate>false</LinksUpToDate>
  <CharactersWithSpaces>29967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2017-09-27T09:19:00Z</dcterms:created>
  <dcterms:modified xsi:type="dcterms:W3CDTF">2017-09-27T09:19:00Z</dcterms:modified>
</cp:coreProperties>
</file>